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7A" w:rsidRDefault="00437486" w:rsidP="00437486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4E0496E" wp14:editId="3B6DE84A">
            <wp:extent cx="2105025" cy="94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HHLN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B6" w:rsidRDefault="00C670AA" w:rsidP="00891A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Primary Care / Public Health / Commissioning Librarians Group</w:t>
      </w:r>
      <w:r w:rsidR="00FF0C48" w:rsidRPr="00FF0C48">
        <w:rPr>
          <w:b/>
          <w:sz w:val="24"/>
          <w:szCs w:val="24"/>
        </w:rPr>
        <w:t xml:space="preserve"> </w:t>
      </w:r>
    </w:p>
    <w:p w:rsidR="002E59FE" w:rsidRPr="00390519" w:rsidRDefault="007C5277" w:rsidP="00891A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 April</w:t>
      </w:r>
      <w:r w:rsidR="00437486">
        <w:rPr>
          <w:b/>
          <w:sz w:val="24"/>
          <w:szCs w:val="24"/>
        </w:rPr>
        <w:t xml:space="preserve"> 2018</w:t>
      </w:r>
      <w:r w:rsidR="00641E0F">
        <w:rPr>
          <w:b/>
          <w:sz w:val="24"/>
          <w:szCs w:val="24"/>
        </w:rPr>
        <w:t>, Medical Education Centre, Hull Royal Infirmary</w:t>
      </w:r>
    </w:p>
    <w:p w:rsidR="002E59FE" w:rsidRDefault="00C670AA" w:rsidP="00891AE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="002E59FE" w:rsidRPr="00390519">
        <w:rPr>
          <w:b/>
          <w:sz w:val="24"/>
          <w:szCs w:val="24"/>
        </w:rPr>
        <w:t xml:space="preserve">Notes </w:t>
      </w:r>
    </w:p>
    <w:p w:rsidR="001D2757" w:rsidRDefault="001D2757" w:rsidP="007A2AE8">
      <w:pPr>
        <w:pStyle w:val="ListParagraph"/>
        <w:spacing w:after="0" w:line="240" w:lineRule="auto"/>
        <w:ind w:left="0"/>
        <w:rPr>
          <w:b/>
        </w:rPr>
      </w:pPr>
    </w:p>
    <w:p w:rsidR="00242FC2" w:rsidRDefault="002E59FE" w:rsidP="001033C3">
      <w:pPr>
        <w:spacing w:line="240" w:lineRule="auto"/>
        <w:ind w:left="1440" w:hanging="1440"/>
        <w:rPr>
          <w:b/>
        </w:rPr>
      </w:pPr>
      <w:r w:rsidRPr="00D52C8B">
        <w:rPr>
          <w:b/>
        </w:rPr>
        <w:t>Present:</w:t>
      </w:r>
      <w:r w:rsidR="001D2757">
        <w:rPr>
          <w:b/>
        </w:rPr>
        <w:tab/>
      </w:r>
      <w:r w:rsidR="004F268A">
        <w:rPr>
          <w:b/>
        </w:rPr>
        <w:t>Helen Swales (H</w:t>
      </w:r>
      <w:r w:rsidR="00437486">
        <w:rPr>
          <w:b/>
        </w:rPr>
        <w:t>S</w:t>
      </w:r>
      <w:r w:rsidR="00242FC2">
        <w:rPr>
          <w:b/>
        </w:rPr>
        <w:t>w</w:t>
      </w:r>
      <w:r w:rsidR="00437486">
        <w:rPr>
          <w:b/>
        </w:rPr>
        <w:t xml:space="preserve">) (Chair),  </w:t>
      </w:r>
      <w:r w:rsidR="004F268A">
        <w:rPr>
          <w:b/>
        </w:rPr>
        <w:t>Jacqui Smales (JSm) (Not</w:t>
      </w:r>
      <w:r w:rsidR="00437486">
        <w:rPr>
          <w:b/>
        </w:rPr>
        <w:t>e Taker), Jan Godwin (JG), Francine Morrisroe (FM)</w:t>
      </w:r>
      <w:r w:rsidR="007C5277">
        <w:rPr>
          <w:b/>
        </w:rPr>
        <w:t>, Tim Staniland (TS), Rebecca Vaananen (RV)</w:t>
      </w:r>
      <w:r w:rsidR="00641E0F">
        <w:rPr>
          <w:b/>
        </w:rPr>
        <w:t xml:space="preserve">, </w:t>
      </w:r>
      <w:r w:rsidR="007C5277">
        <w:rPr>
          <w:b/>
        </w:rPr>
        <w:t xml:space="preserve"> Jo Thomas (JT)</w:t>
      </w:r>
      <w:r w:rsidR="001D2757">
        <w:rPr>
          <w:b/>
        </w:rPr>
        <w:tab/>
      </w:r>
    </w:p>
    <w:p w:rsidR="007C5277" w:rsidRPr="007C5277" w:rsidRDefault="001D2757" w:rsidP="00641E0F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b/>
        </w:rPr>
        <w:t>Apologies</w:t>
      </w:r>
      <w:r w:rsidR="00B23F55">
        <w:rPr>
          <w:b/>
        </w:rPr>
        <w:t>:</w:t>
      </w:r>
      <w:r w:rsidR="00B23F55">
        <w:rPr>
          <w:b/>
        </w:rPr>
        <w:tab/>
      </w:r>
      <w:r w:rsidR="00437486">
        <w:rPr>
          <w:b/>
        </w:rPr>
        <w:t xml:space="preserve"> Maria Simoes (MS),</w:t>
      </w:r>
      <w:r w:rsidR="007C5277">
        <w:rPr>
          <w:b/>
        </w:rPr>
        <w:t xml:space="preserve"> Janet Sampson (JSa)</w:t>
      </w:r>
      <w:r w:rsidR="00641E0F">
        <w:rPr>
          <w:b/>
        </w:rPr>
        <w:t>,</w:t>
      </w:r>
      <w:r w:rsidR="007C5277">
        <w:rPr>
          <w:b/>
        </w:rPr>
        <w:t xml:space="preserve"> </w:t>
      </w:r>
      <w:r w:rsidR="007C5277" w:rsidRPr="007C5277">
        <w:rPr>
          <w:rFonts w:ascii="Arial" w:hAnsi="Arial" w:cs="Arial"/>
          <w:b/>
          <w:sz w:val="20"/>
          <w:szCs w:val="20"/>
        </w:rPr>
        <w:t>Sarah Catton (SC), Jill Rutt (JR)</w:t>
      </w:r>
      <w:r w:rsidR="00641E0F">
        <w:rPr>
          <w:rFonts w:ascii="Arial" w:hAnsi="Arial" w:cs="Arial"/>
          <w:b/>
          <w:sz w:val="20"/>
          <w:szCs w:val="20"/>
        </w:rPr>
        <w:t xml:space="preserve">, Abbas Bismallah, </w:t>
      </w:r>
      <w:r w:rsidR="001033C3">
        <w:rPr>
          <w:rFonts w:ascii="Arial" w:hAnsi="Arial" w:cs="Arial"/>
          <w:b/>
          <w:sz w:val="20"/>
          <w:szCs w:val="20"/>
        </w:rPr>
        <w:t>S</w:t>
      </w:r>
      <w:r w:rsidR="00641E0F">
        <w:rPr>
          <w:rFonts w:ascii="Arial" w:hAnsi="Arial" w:cs="Arial"/>
          <w:b/>
          <w:sz w:val="20"/>
          <w:szCs w:val="20"/>
        </w:rPr>
        <w:t>amantha Gavaghan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12"/>
        <w:gridCol w:w="1984"/>
      </w:tblGrid>
      <w:tr w:rsidR="002E59FE" w:rsidRPr="00D52C8B" w:rsidTr="007222CB">
        <w:tc>
          <w:tcPr>
            <w:tcW w:w="560" w:type="dxa"/>
            <w:shd w:val="clear" w:color="auto" w:fill="FFC000"/>
          </w:tcPr>
          <w:p w:rsidR="002E59FE" w:rsidRPr="00D52C8B" w:rsidRDefault="002E59FE" w:rsidP="00FA07C5">
            <w:pPr>
              <w:rPr>
                <w:b/>
              </w:rPr>
            </w:pPr>
            <w:r w:rsidRPr="00D52C8B">
              <w:rPr>
                <w:b/>
              </w:rPr>
              <w:t>No.</w:t>
            </w:r>
          </w:p>
        </w:tc>
        <w:tc>
          <w:tcPr>
            <w:tcW w:w="7912" w:type="dxa"/>
            <w:shd w:val="clear" w:color="auto" w:fill="FFC000"/>
          </w:tcPr>
          <w:p w:rsidR="002E59FE" w:rsidRPr="00D52C8B" w:rsidRDefault="002E59FE" w:rsidP="005C42C2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984" w:type="dxa"/>
            <w:shd w:val="clear" w:color="auto" w:fill="FFC000"/>
          </w:tcPr>
          <w:p w:rsidR="002E59FE" w:rsidRPr="00D52C8B" w:rsidRDefault="002E59FE" w:rsidP="005C42C2">
            <w:pPr>
              <w:rPr>
                <w:b/>
              </w:rPr>
            </w:pPr>
            <w:r w:rsidRPr="00D52C8B">
              <w:rPr>
                <w:b/>
              </w:rPr>
              <w:t>Actions</w:t>
            </w:r>
          </w:p>
        </w:tc>
      </w:tr>
      <w:tr w:rsidR="002E59FE" w:rsidRPr="00D52C8B" w:rsidTr="00315B56">
        <w:trPr>
          <w:trHeight w:val="980"/>
        </w:trPr>
        <w:tc>
          <w:tcPr>
            <w:tcW w:w="560" w:type="dxa"/>
          </w:tcPr>
          <w:p w:rsidR="002E59FE" w:rsidRPr="00D52C8B" w:rsidRDefault="003C1356" w:rsidP="00FA07C5">
            <w:r>
              <w:t>1.</w:t>
            </w:r>
          </w:p>
        </w:tc>
        <w:tc>
          <w:tcPr>
            <w:tcW w:w="7912" w:type="dxa"/>
          </w:tcPr>
          <w:p w:rsidR="002E59FE" w:rsidRPr="003C1356" w:rsidRDefault="002E7D4F" w:rsidP="00CD62DC">
            <w:pPr>
              <w:spacing w:after="0"/>
              <w:rPr>
                <w:b/>
              </w:rPr>
            </w:pPr>
            <w:r>
              <w:rPr>
                <w:b/>
              </w:rPr>
              <w:t>Welcome, introduction and housekeeping</w:t>
            </w:r>
          </w:p>
          <w:p w:rsidR="00034B02" w:rsidRPr="0019556A" w:rsidRDefault="007C5277" w:rsidP="007C5277">
            <w:pPr>
              <w:spacing w:after="0"/>
            </w:pPr>
            <w:r>
              <w:t xml:space="preserve">The group </w:t>
            </w:r>
            <w:r w:rsidR="003E26AC">
              <w:t xml:space="preserve">welcomed </w:t>
            </w:r>
            <w:r>
              <w:t>everyone and thanked HEY for hosting.</w:t>
            </w:r>
            <w:r w:rsidR="003E26AC">
              <w:t xml:space="preserve"> </w:t>
            </w:r>
          </w:p>
        </w:tc>
        <w:tc>
          <w:tcPr>
            <w:tcW w:w="1984" w:type="dxa"/>
          </w:tcPr>
          <w:p w:rsidR="005E352F" w:rsidRPr="007F1B05" w:rsidRDefault="005E352F" w:rsidP="00315B56">
            <w:pPr>
              <w:spacing w:line="240" w:lineRule="auto"/>
              <w:rPr>
                <w:b/>
              </w:rPr>
            </w:pPr>
          </w:p>
        </w:tc>
      </w:tr>
      <w:tr w:rsidR="002E59FE" w:rsidRPr="00D52C8B" w:rsidTr="007222CB">
        <w:tc>
          <w:tcPr>
            <w:tcW w:w="560" w:type="dxa"/>
          </w:tcPr>
          <w:p w:rsidR="002E59FE" w:rsidRPr="00D52C8B" w:rsidRDefault="003C1356" w:rsidP="00FA07C5">
            <w:r>
              <w:t>2.</w:t>
            </w:r>
          </w:p>
        </w:tc>
        <w:tc>
          <w:tcPr>
            <w:tcW w:w="7912" w:type="dxa"/>
          </w:tcPr>
          <w:p w:rsidR="002E59FE" w:rsidRPr="00071AE9" w:rsidRDefault="003E26AC" w:rsidP="004F6F5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:rsidR="00641E0F" w:rsidRDefault="007C5277" w:rsidP="00641E0F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It is </w:t>
            </w:r>
            <w:r w:rsidR="00641E0F">
              <w:rPr>
                <w:bCs/>
              </w:rPr>
              <w:t>understood</w:t>
            </w:r>
            <w:r>
              <w:rPr>
                <w:bCs/>
              </w:rPr>
              <w:t xml:space="preserve"> that Ann Tanker (Public Health, Sheffield) has retired</w:t>
            </w:r>
            <w:r w:rsidR="00641E0F">
              <w:rPr>
                <w:bCs/>
              </w:rPr>
              <w:t>.</w:t>
            </w:r>
          </w:p>
          <w:p w:rsidR="00641E0F" w:rsidRDefault="00641E0F" w:rsidP="00641E0F">
            <w:pPr>
              <w:pStyle w:val="NoSpacing"/>
              <w:rPr>
                <w:bCs/>
              </w:rPr>
            </w:pPr>
          </w:p>
          <w:p w:rsidR="00641E0F" w:rsidRDefault="007C5277" w:rsidP="00641E0F">
            <w:pPr>
              <w:pStyle w:val="NoSpacing"/>
              <w:rPr>
                <w:rFonts w:cs="Calibri"/>
              </w:rPr>
            </w:pPr>
            <w:r w:rsidRPr="00E625EA">
              <w:rPr>
                <w:rFonts w:cs="Calibri"/>
                <w:b/>
              </w:rPr>
              <w:t>HS</w:t>
            </w:r>
            <w:r>
              <w:rPr>
                <w:rFonts w:cs="Calibri"/>
                <w:b/>
              </w:rPr>
              <w:t>w</w:t>
            </w:r>
            <w:r>
              <w:rPr>
                <w:rFonts w:cs="Calibri"/>
              </w:rPr>
              <w:t xml:space="preserve"> explained to the group about the </w:t>
            </w:r>
            <w:r w:rsidR="002207C2">
              <w:rPr>
                <w:rFonts w:cs="Calibri"/>
              </w:rPr>
              <w:t xml:space="preserve">Leeds </w:t>
            </w:r>
            <w:r>
              <w:rPr>
                <w:rFonts w:cs="Calibri"/>
              </w:rPr>
              <w:t xml:space="preserve">ERIC </w:t>
            </w:r>
            <w:r w:rsidR="002207C2">
              <w:rPr>
                <w:rFonts w:cs="Calibri"/>
              </w:rPr>
              <w:t xml:space="preserve">personal stories </w:t>
            </w:r>
            <w:r>
              <w:rPr>
                <w:rFonts w:cs="Calibri"/>
              </w:rPr>
              <w:t xml:space="preserve">bid and how that was progressing.  </w:t>
            </w:r>
            <w:r w:rsidR="002207C2">
              <w:rPr>
                <w:rFonts w:cs="Calibri"/>
              </w:rPr>
              <w:t>M</w:t>
            </w:r>
            <w:r w:rsidR="00641E0F">
              <w:rPr>
                <w:rFonts w:cs="Calibri"/>
              </w:rPr>
              <w:t xml:space="preserve">ore information can be found about the collection at </w:t>
            </w:r>
            <w:hyperlink r:id="rId10" w:history="1">
              <w:r w:rsidR="00641E0F" w:rsidRPr="005B728C">
                <w:rPr>
                  <w:rStyle w:val="Hyperlink"/>
                  <w:rFonts w:cs="Calibri"/>
                </w:rPr>
                <w:t>http://www.leedslibraries.nhs.uk/resources/personal-stories/</w:t>
              </w:r>
            </w:hyperlink>
            <w:r w:rsidR="00641E0F">
              <w:rPr>
                <w:rFonts w:cs="Calibri"/>
              </w:rPr>
              <w:t xml:space="preserve"> </w:t>
            </w:r>
          </w:p>
          <w:p w:rsidR="00641E0F" w:rsidRDefault="00641E0F" w:rsidP="00641E0F">
            <w:pPr>
              <w:pStyle w:val="NoSpacing"/>
              <w:rPr>
                <w:rFonts w:cs="Calibri"/>
              </w:rPr>
            </w:pPr>
          </w:p>
          <w:p w:rsidR="00641E0F" w:rsidRDefault="00641E0F" w:rsidP="00641E0F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Discussion around the end of year HEE monies, and issues arising from that.   HSw to follow up with HCLU about a possible evaluation for the process and also issues of timescales.</w:t>
            </w:r>
            <w:r w:rsidR="008B3368">
              <w:rPr>
                <w:rFonts w:cs="Calibri"/>
              </w:rPr>
              <w:t xml:space="preserve">  There was a query about whether it would be possible for HCLU to purchase things on our behalf.</w:t>
            </w:r>
          </w:p>
          <w:p w:rsidR="00641E0F" w:rsidRDefault="00641E0F" w:rsidP="00641E0F">
            <w:pPr>
              <w:pStyle w:val="NoSpacing"/>
              <w:rPr>
                <w:rFonts w:cs="Calibri"/>
              </w:rPr>
            </w:pPr>
          </w:p>
          <w:p w:rsidR="008966B6" w:rsidRPr="00D52C8B" w:rsidRDefault="00641E0F" w:rsidP="008B3368">
            <w:pPr>
              <w:pStyle w:val="NoSpacing"/>
              <w:rPr>
                <w:bCs/>
              </w:rPr>
            </w:pPr>
            <w:r>
              <w:rPr>
                <w:rFonts w:cs="Calibri"/>
              </w:rPr>
              <w:t xml:space="preserve">It was also noted that following discussions in the last teleconference, and also from the Mental Health Librarians Group, HCLU had taken on board comments received about the Medline Complete / BMJ Best Practice procurement </w:t>
            </w:r>
            <w:r w:rsidR="008B3368">
              <w:rPr>
                <w:rFonts w:cs="Calibri"/>
              </w:rPr>
              <w:t>decision, and changes were made.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</w:tcPr>
          <w:p w:rsidR="003E2294" w:rsidRDefault="003E2294" w:rsidP="009146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8B3368" w:rsidRDefault="008B3368" w:rsidP="00641E0F">
            <w:pPr>
              <w:pStyle w:val="NoSpacing"/>
              <w:rPr>
                <w:b/>
              </w:rPr>
            </w:pPr>
          </w:p>
          <w:p w:rsidR="00341D89" w:rsidRPr="00D52C8B" w:rsidRDefault="00341D89" w:rsidP="00641E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Action – </w:t>
            </w:r>
            <w:r w:rsidR="00641E0F">
              <w:rPr>
                <w:b/>
              </w:rPr>
              <w:t xml:space="preserve">HSw to follow up with HCLU </w:t>
            </w:r>
          </w:p>
        </w:tc>
      </w:tr>
      <w:tr w:rsidR="002E59FE" w:rsidRPr="00D52C8B" w:rsidTr="007222CB">
        <w:tc>
          <w:tcPr>
            <w:tcW w:w="560" w:type="dxa"/>
          </w:tcPr>
          <w:p w:rsidR="002E59FE" w:rsidRPr="00D52C8B" w:rsidRDefault="003C1356" w:rsidP="00FA07C5">
            <w:r>
              <w:t>3.</w:t>
            </w:r>
          </w:p>
        </w:tc>
        <w:tc>
          <w:tcPr>
            <w:tcW w:w="7912" w:type="dxa"/>
          </w:tcPr>
          <w:p w:rsidR="003E26AC" w:rsidRPr="003E26AC" w:rsidRDefault="003E26AC" w:rsidP="001374F6">
            <w:pPr>
              <w:spacing w:after="0" w:line="240" w:lineRule="auto"/>
              <w:rPr>
                <w:rFonts w:cs="Calibri"/>
                <w:b/>
              </w:rPr>
            </w:pPr>
            <w:r w:rsidRPr="003E26AC">
              <w:rPr>
                <w:rFonts w:cs="Calibri"/>
                <w:b/>
              </w:rPr>
              <w:t>STP/ACO</w:t>
            </w:r>
          </w:p>
          <w:p w:rsidR="00E625EA" w:rsidRPr="008505B6" w:rsidRDefault="00341D89" w:rsidP="00E625EA">
            <w:pPr>
              <w:rPr>
                <w:rFonts w:cs="Calibri"/>
              </w:rPr>
            </w:pPr>
            <w:r>
              <w:rPr>
                <w:rFonts w:cs="Calibri"/>
              </w:rPr>
              <w:t>Still very quiet in this area, no progress to report.</w:t>
            </w:r>
          </w:p>
        </w:tc>
        <w:tc>
          <w:tcPr>
            <w:tcW w:w="1984" w:type="dxa"/>
          </w:tcPr>
          <w:p w:rsidR="00341D89" w:rsidRDefault="00341D89" w:rsidP="00341D89">
            <w:pPr>
              <w:pStyle w:val="NoSpacing"/>
              <w:rPr>
                <w:b/>
              </w:rPr>
            </w:pPr>
          </w:p>
          <w:p w:rsidR="00E625EA" w:rsidRPr="00D52C8B" w:rsidRDefault="00E625EA" w:rsidP="00341D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 </w:t>
            </w:r>
            <w:r w:rsidR="00715058">
              <w:rPr>
                <w:b/>
              </w:rPr>
              <w:t>group was</w:t>
            </w:r>
            <w:r>
              <w:rPr>
                <w:b/>
              </w:rPr>
              <w:t xml:space="preserve"> asked to keep everyone informed.</w:t>
            </w:r>
          </w:p>
        </w:tc>
      </w:tr>
      <w:tr w:rsidR="002E59FE" w:rsidRPr="00D52C8B" w:rsidTr="007222CB">
        <w:tc>
          <w:tcPr>
            <w:tcW w:w="560" w:type="dxa"/>
          </w:tcPr>
          <w:p w:rsidR="002E59FE" w:rsidRPr="00D52C8B" w:rsidRDefault="00AC0E91" w:rsidP="00FA07C5">
            <w:r>
              <w:t>4</w:t>
            </w:r>
          </w:p>
        </w:tc>
        <w:tc>
          <w:tcPr>
            <w:tcW w:w="7912" w:type="dxa"/>
          </w:tcPr>
          <w:p w:rsidR="00E625EA" w:rsidRDefault="00E625EA" w:rsidP="005B5469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Information for Patient and the Public</w:t>
            </w:r>
          </w:p>
          <w:p w:rsidR="00641E0F" w:rsidRDefault="00E625EA" w:rsidP="00341D89">
            <w:pPr>
              <w:spacing w:after="0" w:line="240" w:lineRule="auto"/>
              <w:rPr>
                <w:rFonts w:cs="Calibri"/>
              </w:rPr>
            </w:pPr>
            <w:r w:rsidRPr="00E625EA">
              <w:rPr>
                <w:rFonts w:cs="Calibri"/>
                <w:b/>
              </w:rPr>
              <w:t>HS</w:t>
            </w:r>
            <w:r w:rsidR="00242FC2">
              <w:rPr>
                <w:rFonts w:cs="Calibri"/>
                <w:b/>
              </w:rPr>
              <w:t>w</w:t>
            </w:r>
            <w:r>
              <w:rPr>
                <w:rFonts w:cs="Calibri"/>
              </w:rPr>
              <w:t xml:space="preserve"> </w:t>
            </w:r>
            <w:r w:rsidR="00341D89">
              <w:rPr>
                <w:rFonts w:cs="Calibri"/>
              </w:rPr>
              <w:t>asked the group what was planned for Health Information Week #HIW2018 2</w:t>
            </w:r>
            <w:r w:rsidR="00341D89" w:rsidRPr="00341D89">
              <w:rPr>
                <w:rFonts w:cs="Calibri"/>
                <w:vertAlign w:val="superscript"/>
              </w:rPr>
              <w:t>nd</w:t>
            </w:r>
            <w:r w:rsidR="00341D89">
              <w:rPr>
                <w:rFonts w:cs="Calibri"/>
              </w:rPr>
              <w:t xml:space="preserve"> to 8</w:t>
            </w:r>
            <w:r w:rsidR="00341D89" w:rsidRPr="00341D89">
              <w:rPr>
                <w:rFonts w:cs="Calibri"/>
                <w:vertAlign w:val="superscript"/>
              </w:rPr>
              <w:t>th</w:t>
            </w:r>
            <w:r w:rsidR="00341D89">
              <w:rPr>
                <w:rFonts w:cs="Calibri"/>
              </w:rPr>
              <w:t xml:space="preserve"> July 2018.  </w:t>
            </w:r>
            <w:r w:rsidR="00641E0F">
              <w:rPr>
                <w:rFonts w:cs="Calibri"/>
              </w:rPr>
              <w:t xml:space="preserve">  It was noted that the week is the same time as the NHS 70</w:t>
            </w:r>
            <w:r w:rsidR="00641E0F" w:rsidRPr="00641E0F">
              <w:rPr>
                <w:rFonts w:cs="Calibri"/>
                <w:vertAlign w:val="superscript"/>
              </w:rPr>
              <w:t>th</w:t>
            </w:r>
            <w:r w:rsidR="00641E0F">
              <w:rPr>
                <w:rFonts w:cs="Calibri"/>
              </w:rPr>
              <w:t xml:space="preserve"> Birthday</w:t>
            </w:r>
            <w:r w:rsidR="008B3368">
              <w:rPr>
                <w:rFonts w:cs="Calibri"/>
              </w:rPr>
              <w:t xml:space="preserve"> celebrations (5</w:t>
            </w:r>
            <w:r w:rsidR="008B3368" w:rsidRPr="008B3368">
              <w:rPr>
                <w:rFonts w:cs="Calibri"/>
                <w:vertAlign w:val="superscript"/>
              </w:rPr>
              <w:t>th</w:t>
            </w:r>
            <w:r w:rsidR="008B3368">
              <w:rPr>
                <w:rFonts w:cs="Calibri"/>
              </w:rPr>
              <w:t xml:space="preserve"> July)</w:t>
            </w:r>
          </w:p>
          <w:p w:rsidR="00641E0F" w:rsidRDefault="00641E0F" w:rsidP="00341D89">
            <w:pPr>
              <w:spacing w:after="0" w:line="240" w:lineRule="auto"/>
              <w:rPr>
                <w:rFonts w:cs="Calibri"/>
              </w:rPr>
            </w:pPr>
          </w:p>
          <w:p w:rsidR="00641E0F" w:rsidRDefault="00341D89" w:rsidP="00341D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It was explained that Leeds Community would be activating the</w:t>
            </w:r>
            <w:r w:rsidR="002207C2">
              <w:rPr>
                <w:rFonts w:cs="Calibri"/>
              </w:rPr>
              <w:t xml:space="preserve"> pan Leeds HIW web pages </w:t>
            </w:r>
            <w:r>
              <w:rPr>
                <w:rFonts w:cs="Calibri"/>
              </w:rPr>
              <w:t xml:space="preserve">for this week which was linked in with useful links such as Health Watch and </w:t>
            </w:r>
            <w:r w:rsidR="002207C2">
              <w:rPr>
                <w:rFonts w:cs="Calibri"/>
              </w:rPr>
              <w:t>it was hoped there would be more events across the patch, rather than just twitter activity this year</w:t>
            </w:r>
            <w:r>
              <w:rPr>
                <w:rFonts w:cs="Calibri"/>
              </w:rPr>
              <w:t xml:space="preserve">.  </w:t>
            </w:r>
          </w:p>
          <w:p w:rsidR="00641E0F" w:rsidRDefault="00641E0F" w:rsidP="00341D89">
            <w:pPr>
              <w:spacing w:after="0" w:line="240" w:lineRule="auto"/>
              <w:rPr>
                <w:rFonts w:cs="Calibri"/>
              </w:rPr>
            </w:pPr>
          </w:p>
          <w:p w:rsidR="00E625EA" w:rsidRDefault="00341D89" w:rsidP="00341D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JT discussed the uptake of the Macmillan books and her plans for these.</w:t>
            </w:r>
          </w:p>
          <w:p w:rsidR="00F44479" w:rsidRPr="00C56386" w:rsidRDefault="00F44479" w:rsidP="00341D8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</w:tcPr>
          <w:p w:rsidR="00C56386" w:rsidRDefault="00C56386" w:rsidP="00DC6C79">
            <w:pPr>
              <w:pStyle w:val="NoSpacing"/>
              <w:rPr>
                <w:b/>
              </w:rPr>
            </w:pPr>
          </w:p>
          <w:p w:rsidR="00341D89" w:rsidRDefault="00641E0F" w:rsidP="00DC6C79">
            <w:pPr>
              <w:pStyle w:val="NoSpacing"/>
              <w:rPr>
                <w:b/>
              </w:rPr>
            </w:pPr>
            <w:r>
              <w:rPr>
                <w:b/>
              </w:rPr>
              <w:t>ALL to share information of local activity as it plans develop</w:t>
            </w:r>
          </w:p>
          <w:p w:rsidR="00341D89" w:rsidRPr="00D52C8B" w:rsidRDefault="00341D89" w:rsidP="00DC6C79">
            <w:pPr>
              <w:pStyle w:val="NoSpacing"/>
              <w:rPr>
                <w:b/>
              </w:rPr>
            </w:pPr>
          </w:p>
        </w:tc>
      </w:tr>
      <w:tr w:rsidR="00646E9E" w:rsidRPr="00D01180" w:rsidTr="007222CB">
        <w:tc>
          <w:tcPr>
            <w:tcW w:w="560" w:type="dxa"/>
          </w:tcPr>
          <w:p w:rsidR="00646E9E" w:rsidRDefault="00E625EA" w:rsidP="00FA07C5">
            <w:r>
              <w:lastRenderedPageBreak/>
              <w:t>5</w:t>
            </w:r>
          </w:p>
        </w:tc>
        <w:tc>
          <w:tcPr>
            <w:tcW w:w="7912" w:type="dxa"/>
          </w:tcPr>
          <w:p w:rsidR="00E625EA" w:rsidRDefault="00E625EA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Service updates</w:t>
            </w:r>
          </w:p>
          <w:p w:rsidR="00341D89" w:rsidRPr="00326746" w:rsidRDefault="00341D89" w:rsidP="00646E9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JSm </w:t>
            </w:r>
            <w:r w:rsidRPr="00326746">
              <w:rPr>
                <w:rFonts w:cs="Calibri"/>
              </w:rPr>
              <w:t>informed the group of t</w:t>
            </w:r>
            <w:r w:rsidR="00326746">
              <w:rPr>
                <w:rFonts w:cs="Calibri"/>
              </w:rPr>
              <w:t>he changes to HEY including an</w:t>
            </w:r>
            <w:r w:rsidRPr="00326746">
              <w:rPr>
                <w:rFonts w:cs="Calibri"/>
              </w:rPr>
              <w:t xml:space="preserve"> apprentice</w:t>
            </w:r>
            <w:r>
              <w:rPr>
                <w:rFonts w:cs="Calibri"/>
                <w:b/>
              </w:rPr>
              <w:t xml:space="preserve"> </w:t>
            </w:r>
            <w:r w:rsidR="00326746" w:rsidRPr="00326746">
              <w:rPr>
                <w:rFonts w:cs="Calibri"/>
              </w:rPr>
              <w:t>Cohen Green</w:t>
            </w:r>
            <w:r w:rsidR="00326746">
              <w:rPr>
                <w:rFonts w:cs="Calibri"/>
              </w:rPr>
              <w:t xml:space="preserve">.  New books had been purchased and new furniture.  The current awareness service is now up and running with over 3000 names signed up for the service.  </w:t>
            </w:r>
          </w:p>
          <w:p w:rsidR="00341D89" w:rsidRDefault="00341D89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326746" w:rsidRDefault="00326746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JT </w:t>
            </w:r>
            <w:r w:rsidRPr="00326746">
              <w:rPr>
                <w:rFonts w:cs="Calibri"/>
              </w:rPr>
              <w:t xml:space="preserve">the new carpet had arrived at both libraries and the self-issue machine and security gates have been replaced.  The Pay Per View project is now finished and written </w:t>
            </w:r>
            <w:r w:rsidR="009C319F" w:rsidRPr="00326746">
              <w:rPr>
                <w:rFonts w:cs="Calibri"/>
              </w:rPr>
              <w:t>up and</w:t>
            </w:r>
            <w:r w:rsidRPr="00326746">
              <w:rPr>
                <w:rFonts w:cs="Calibri"/>
              </w:rPr>
              <w:t xml:space="preserve"> open to suggestions where this should be published.</w:t>
            </w:r>
            <w:r>
              <w:rPr>
                <w:rFonts w:cs="Calibri"/>
                <w:b/>
              </w:rPr>
              <w:t xml:space="preserve"> </w:t>
            </w:r>
          </w:p>
          <w:p w:rsidR="00326746" w:rsidRDefault="00326746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326746" w:rsidRDefault="00326746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FM </w:t>
            </w:r>
            <w:r w:rsidRPr="009C319F">
              <w:rPr>
                <w:rFonts w:cs="Calibri"/>
              </w:rPr>
              <w:t>Current Awareness Services are being delivered via Wordpress and providing a bulletin for CAMHS.</w:t>
            </w:r>
          </w:p>
          <w:p w:rsidR="00326746" w:rsidRDefault="00326746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F44479" w:rsidRDefault="00326746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RV </w:t>
            </w:r>
            <w:r w:rsidRPr="009C319F">
              <w:rPr>
                <w:rFonts w:cs="Calibri"/>
              </w:rPr>
              <w:t>Have a new member of staff who is promoting the service, a good asset for the</w:t>
            </w:r>
            <w:r>
              <w:rPr>
                <w:rFonts w:cs="Calibri"/>
                <w:b/>
              </w:rPr>
              <w:t xml:space="preserve"> </w:t>
            </w:r>
          </w:p>
          <w:p w:rsidR="00326746" w:rsidRDefault="009C319F" w:rsidP="00646E9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9C319F">
              <w:rPr>
                <w:rFonts w:cs="Calibri"/>
              </w:rPr>
              <w:t>team -</w:t>
            </w:r>
            <w:r w:rsidR="00326746" w:rsidRPr="009C319F">
              <w:rPr>
                <w:rFonts w:cs="Calibri"/>
              </w:rPr>
              <w:t xml:space="preserve"> Rebecca Cumberworth.  Technology has been upgrade in the library and training </w:t>
            </w:r>
            <w:r>
              <w:rPr>
                <w:rFonts w:cs="Calibri"/>
              </w:rPr>
              <w:t xml:space="preserve">room. </w:t>
            </w:r>
          </w:p>
          <w:p w:rsidR="009C319F" w:rsidRPr="009C319F" w:rsidRDefault="009C319F" w:rsidP="00646E9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242FC2" w:rsidRPr="00A432B7" w:rsidRDefault="00E625EA" w:rsidP="00646E9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HS</w:t>
            </w:r>
            <w:r w:rsidR="003126C2">
              <w:rPr>
                <w:rFonts w:cs="Calibri"/>
                <w:b/>
              </w:rPr>
              <w:t>w</w:t>
            </w:r>
            <w:r>
              <w:rPr>
                <w:rFonts w:cs="Calibri"/>
                <w:b/>
              </w:rPr>
              <w:t xml:space="preserve"> </w:t>
            </w:r>
            <w:r w:rsidRPr="00A432B7">
              <w:rPr>
                <w:rFonts w:cs="Calibri"/>
              </w:rPr>
              <w:t xml:space="preserve">explained to the group </w:t>
            </w:r>
            <w:r w:rsidR="009C319F">
              <w:rPr>
                <w:rFonts w:cs="Calibri"/>
              </w:rPr>
              <w:t xml:space="preserve">that the Library Trainee Post comes to an end in August and the interview dates will be in June 2018.  </w:t>
            </w:r>
            <w:r w:rsidR="00641E0F">
              <w:rPr>
                <w:rFonts w:cs="Calibri"/>
              </w:rPr>
              <w:t>They have some training planned for pharmacy staff.  Also noted the popularity of the monthly new guidelines bulletin for practice managers, especially when CQC</w:t>
            </w:r>
            <w:r w:rsidR="002207C2">
              <w:rPr>
                <w:rFonts w:cs="Calibri"/>
              </w:rPr>
              <w:t xml:space="preserve"> </w:t>
            </w:r>
            <w:r w:rsidR="00FA7688">
              <w:rPr>
                <w:rFonts w:cs="Calibri"/>
              </w:rPr>
              <w:t xml:space="preserve"> </w:t>
            </w:r>
            <w:r w:rsidR="00641E0F">
              <w:rPr>
                <w:rFonts w:cs="Calibri"/>
              </w:rPr>
              <w:t>visits were due!</w:t>
            </w:r>
          </w:p>
          <w:p w:rsidR="00FA7688" w:rsidRDefault="00FA7688" w:rsidP="00646E9E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242FC2" w:rsidRPr="00FA7688" w:rsidRDefault="00FA7688" w:rsidP="00646E9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J</w:t>
            </w:r>
            <w:r w:rsidR="00242FC2">
              <w:rPr>
                <w:rFonts w:cs="Calibri"/>
                <w:b/>
              </w:rPr>
              <w:t xml:space="preserve">G </w:t>
            </w:r>
            <w:r w:rsidRPr="00FA7688">
              <w:rPr>
                <w:rFonts w:cs="Calibri"/>
              </w:rPr>
              <w:t xml:space="preserve">New study carrels in place and discussions re a SLA with Public Health in York.  A receptionist has been appointment for Post Graduate team.  Continuing dialogue with Public Libraries.  York are using Knowledge Share, proceeding with the current awareness and debating the other features.  </w:t>
            </w:r>
          </w:p>
          <w:p w:rsidR="00482098" w:rsidRPr="00831C74" w:rsidRDefault="00482098" w:rsidP="00FA7688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984" w:type="dxa"/>
          </w:tcPr>
          <w:p w:rsidR="00646E9E" w:rsidRPr="00D01180" w:rsidRDefault="00646E9E" w:rsidP="00646E9E">
            <w:pPr>
              <w:rPr>
                <w:b/>
              </w:rPr>
            </w:pPr>
          </w:p>
        </w:tc>
      </w:tr>
      <w:tr w:rsidR="00646E9E" w:rsidRPr="00D52C8B" w:rsidTr="007222CB">
        <w:tc>
          <w:tcPr>
            <w:tcW w:w="560" w:type="dxa"/>
          </w:tcPr>
          <w:p w:rsidR="00646E9E" w:rsidRDefault="00A432B7" w:rsidP="00FA07C5">
            <w:r>
              <w:t>6</w:t>
            </w:r>
          </w:p>
        </w:tc>
        <w:tc>
          <w:tcPr>
            <w:tcW w:w="7912" w:type="dxa"/>
          </w:tcPr>
          <w:p w:rsidR="0091743C" w:rsidRPr="006F32A8" w:rsidRDefault="006F32A8" w:rsidP="0091743C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6F32A8">
              <w:rPr>
                <w:rFonts w:cs="Calibri"/>
                <w:b/>
              </w:rPr>
              <w:t>Elect</w:t>
            </w:r>
            <w:r w:rsidR="00FA7688">
              <w:rPr>
                <w:rFonts w:cs="Calibri"/>
                <w:b/>
              </w:rPr>
              <w:t>ronic resources purchasing update</w:t>
            </w:r>
          </w:p>
          <w:p w:rsidR="000C3294" w:rsidRPr="00D542D8" w:rsidRDefault="00FA7688" w:rsidP="00FA7688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</w:rPr>
              <w:t>This had been discussed earlier</w:t>
            </w:r>
          </w:p>
        </w:tc>
        <w:tc>
          <w:tcPr>
            <w:tcW w:w="1984" w:type="dxa"/>
          </w:tcPr>
          <w:p w:rsidR="0091743C" w:rsidRPr="00D542D8" w:rsidRDefault="0091743C" w:rsidP="006F32A8">
            <w:pPr>
              <w:rPr>
                <w:b/>
              </w:rPr>
            </w:pPr>
          </w:p>
        </w:tc>
      </w:tr>
      <w:tr w:rsidR="0091743C" w:rsidRPr="00D52C8B" w:rsidTr="007222CB">
        <w:tc>
          <w:tcPr>
            <w:tcW w:w="560" w:type="dxa"/>
          </w:tcPr>
          <w:p w:rsidR="0091743C" w:rsidRDefault="006F32A8" w:rsidP="00FA07C5">
            <w:r>
              <w:t>7</w:t>
            </w:r>
          </w:p>
        </w:tc>
        <w:tc>
          <w:tcPr>
            <w:tcW w:w="7912" w:type="dxa"/>
          </w:tcPr>
          <w:p w:rsidR="005A0205" w:rsidRPr="006F32A8" w:rsidRDefault="00FA7688" w:rsidP="005A020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PHE update – including Discovery tool</w:t>
            </w:r>
          </w:p>
          <w:p w:rsidR="000C3294" w:rsidRPr="005A0205" w:rsidRDefault="00FA7688" w:rsidP="008B336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HSw and RV discussed this with the group in preparation for a meeting later in the week with SC.  The group gave useful feedback </w:t>
            </w:r>
            <w:r w:rsidR="008B3368">
              <w:rPr>
                <w:rFonts w:cs="Calibri"/>
              </w:rPr>
              <w:t>to HSw and RV for their meeting.</w:t>
            </w:r>
          </w:p>
        </w:tc>
        <w:tc>
          <w:tcPr>
            <w:tcW w:w="1984" w:type="dxa"/>
          </w:tcPr>
          <w:p w:rsidR="0091743C" w:rsidRDefault="0091743C" w:rsidP="001E6EDB">
            <w:pPr>
              <w:pStyle w:val="NoSpacing"/>
              <w:rPr>
                <w:b/>
              </w:rPr>
            </w:pPr>
          </w:p>
          <w:p w:rsidR="00AE5288" w:rsidRDefault="00FA7688" w:rsidP="001E6EDB">
            <w:pPr>
              <w:pStyle w:val="NoSpacing"/>
              <w:rPr>
                <w:b/>
              </w:rPr>
            </w:pPr>
            <w:r>
              <w:rPr>
                <w:b/>
              </w:rPr>
              <w:t>HSw/RV</w:t>
            </w:r>
          </w:p>
          <w:p w:rsidR="00AE5288" w:rsidRDefault="00AE5288" w:rsidP="001E6EDB">
            <w:pPr>
              <w:pStyle w:val="NoSpacing"/>
              <w:rPr>
                <w:b/>
              </w:rPr>
            </w:pPr>
          </w:p>
          <w:p w:rsidR="00AE5288" w:rsidRPr="00000045" w:rsidRDefault="00AE5288" w:rsidP="001E6EDB">
            <w:pPr>
              <w:pStyle w:val="NoSpacing"/>
              <w:rPr>
                <w:b/>
              </w:rPr>
            </w:pPr>
          </w:p>
        </w:tc>
      </w:tr>
      <w:tr w:rsidR="008B3368" w:rsidRPr="00D52C8B" w:rsidTr="007222CB">
        <w:tc>
          <w:tcPr>
            <w:tcW w:w="560" w:type="dxa"/>
          </w:tcPr>
          <w:p w:rsidR="008B3368" w:rsidRDefault="008B3368" w:rsidP="00FA07C5">
            <w:r>
              <w:t>8</w:t>
            </w:r>
          </w:p>
        </w:tc>
        <w:tc>
          <w:tcPr>
            <w:tcW w:w="7912" w:type="dxa"/>
          </w:tcPr>
          <w:p w:rsidR="008B3368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8B3368">
              <w:rPr>
                <w:rFonts w:cs="Calibri"/>
                <w:b/>
              </w:rPr>
              <w:t>AOB</w:t>
            </w:r>
          </w:p>
          <w:p w:rsidR="008B3368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Discussion about national current awareness plans – the KfH CAS repository is now available at </w:t>
            </w:r>
            <w:hyperlink r:id="rId11" w:history="1">
              <w:r w:rsidRPr="005B728C">
                <w:rPr>
                  <w:rStyle w:val="Hyperlink"/>
                  <w:rFonts w:cs="Calibri"/>
                </w:rPr>
                <w:t>http://kfh.libraryservices.nhs.uk/current-awareness/</w:t>
              </w:r>
            </w:hyperlink>
            <w:r>
              <w:rPr>
                <w:rFonts w:cs="Calibri"/>
              </w:rPr>
              <w:t xml:space="preserve"> </w:t>
            </w:r>
          </w:p>
          <w:p w:rsidR="008B3368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8B3368" w:rsidRPr="008B3368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Query from the group about CASH – and how national LKS support this versus KnowledgeShare.  HSw to follow up with HCLU</w:t>
            </w:r>
          </w:p>
        </w:tc>
        <w:tc>
          <w:tcPr>
            <w:tcW w:w="1984" w:type="dxa"/>
          </w:tcPr>
          <w:p w:rsidR="008B3368" w:rsidRDefault="008B3368" w:rsidP="001E6EDB">
            <w:pPr>
              <w:pStyle w:val="NoSpacing"/>
            </w:pPr>
          </w:p>
          <w:p w:rsidR="008B3368" w:rsidRDefault="008B3368" w:rsidP="001E6EDB">
            <w:pPr>
              <w:pStyle w:val="NoSpacing"/>
            </w:pPr>
          </w:p>
          <w:p w:rsidR="008B3368" w:rsidRDefault="008B3368" w:rsidP="001E6EDB">
            <w:pPr>
              <w:pStyle w:val="NoSpacing"/>
            </w:pPr>
          </w:p>
          <w:p w:rsidR="008B3368" w:rsidRDefault="008B3368" w:rsidP="001E6EDB">
            <w:pPr>
              <w:pStyle w:val="NoSpacing"/>
            </w:pPr>
          </w:p>
          <w:p w:rsidR="008B3368" w:rsidRDefault="008B3368" w:rsidP="001E6EDB">
            <w:pPr>
              <w:pStyle w:val="NoSpacing"/>
              <w:rPr>
                <w:b/>
              </w:rPr>
            </w:pPr>
            <w:r>
              <w:rPr>
                <w:b/>
              </w:rPr>
              <w:t>Action – HSw to follow up with HCLU</w:t>
            </w:r>
          </w:p>
          <w:p w:rsidR="008B3368" w:rsidRDefault="008B3368" w:rsidP="001E6EDB">
            <w:pPr>
              <w:pStyle w:val="NoSpacing"/>
            </w:pPr>
          </w:p>
        </w:tc>
      </w:tr>
      <w:tr w:rsidR="000C3294" w:rsidRPr="00D52C8B" w:rsidTr="007222CB">
        <w:tc>
          <w:tcPr>
            <w:tcW w:w="560" w:type="dxa"/>
          </w:tcPr>
          <w:p w:rsidR="000C3294" w:rsidRDefault="008B3368" w:rsidP="00FA07C5">
            <w:r>
              <w:t>9</w:t>
            </w:r>
          </w:p>
        </w:tc>
        <w:tc>
          <w:tcPr>
            <w:tcW w:w="7912" w:type="dxa"/>
          </w:tcPr>
          <w:p w:rsidR="000C3294" w:rsidRPr="008B3368" w:rsidRDefault="00FA7688" w:rsidP="00BA582B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8B3368">
              <w:rPr>
                <w:rFonts w:cs="Calibri"/>
                <w:b/>
              </w:rPr>
              <w:t xml:space="preserve">Date of next meeting / </w:t>
            </w:r>
            <w:r w:rsidR="000C3294" w:rsidRPr="008B3368">
              <w:rPr>
                <w:rFonts w:cs="Calibri"/>
                <w:b/>
              </w:rPr>
              <w:t>Joint North Meeting</w:t>
            </w:r>
          </w:p>
          <w:p w:rsidR="008B3368" w:rsidRDefault="000C3294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HSw agreed to contact North West and North E</w:t>
            </w:r>
            <w:r w:rsidR="008B3368">
              <w:rPr>
                <w:rFonts w:cs="Calibri"/>
              </w:rPr>
              <w:t xml:space="preserve">ast to organise a Joint meeting – preferably early October.  </w:t>
            </w:r>
          </w:p>
          <w:p w:rsidR="008B3368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0C3294" w:rsidRDefault="008B3368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HSw to look into teleconference date in July / August to help plan this – but noted that some staff will be away on annual leave at this time</w:t>
            </w:r>
          </w:p>
          <w:p w:rsidR="000C3294" w:rsidRDefault="000C3294" w:rsidP="00BA582B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984" w:type="dxa"/>
          </w:tcPr>
          <w:p w:rsidR="000C3294" w:rsidRDefault="000C3294" w:rsidP="001E6EDB">
            <w:pPr>
              <w:pStyle w:val="NoSpacing"/>
            </w:pPr>
          </w:p>
          <w:p w:rsidR="000C3294" w:rsidRPr="00D542D8" w:rsidRDefault="000C3294" w:rsidP="001E6EDB">
            <w:pPr>
              <w:pStyle w:val="NoSpacing"/>
              <w:rPr>
                <w:b/>
              </w:rPr>
            </w:pPr>
            <w:r w:rsidRPr="00D542D8">
              <w:rPr>
                <w:b/>
              </w:rPr>
              <w:t>HSw</w:t>
            </w:r>
          </w:p>
        </w:tc>
      </w:tr>
    </w:tbl>
    <w:p w:rsidR="002E59FE" w:rsidRDefault="002E59FE" w:rsidP="0078379C">
      <w:pPr>
        <w:rPr>
          <w:rFonts w:cs="Arial"/>
        </w:rPr>
      </w:pPr>
    </w:p>
    <w:sectPr w:rsidR="002E59FE" w:rsidSect="0078379C">
      <w:headerReference w:type="default" r:id="rId12"/>
      <w:footerReference w:type="default" r:id="rId13"/>
      <w:type w:val="continuous"/>
      <w:pgSz w:w="11920" w:h="16840"/>
      <w:pgMar w:top="1380" w:right="240" w:bottom="1200" w:left="660" w:header="316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6" w:rsidRDefault="002630F6">
      <w:pPr>
        <w:spacing w:after="0" w:line="240" w:lineRule="auto"/>
      </w:pPr>
      <w:r>
        <w:separator/>
      </w:r>
    </w:p>
  </w:endnote>
  <w:endnote w:type="continuationSeparator" w:id="0">
    <w:p w:rsidR="002630F6" w:rsidRDefault="002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698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0F6" w:rsidRDefault="001C10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9FE" w:rsidRPr="00AE5288" w:rsidRDefault="00FA7688">
    <w:pPr>
      <w:spacing w:after="0" w:line="200" w:lineRule="exact"/>
      <w:rPr>
        <w:sz w:val="16"/>
        <w:szCs w:val="16"/>
      </w:rPr>
    </w:pPr>
    <w:r>
      <w:rPr>
        <w:sz w:val="16"/>
        <w:szCs w:val="16"/>
      </w:rPr>
      <w:t>Version 1 24.04.2018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6" w:rsidRDefault="002630F6">
      <w:pPr>
        <w:spacing w:after="0" w:line="240" w:lineRule="auto"/>
      </w:pPr>
      <w:r>
        <w:separator/>
      </w:r>
    </w:p>
  </w:footnote>
  <w:footnote w:type="continuationSeparator" w:id="0">
    <w:p w:rsidR="002630F6" w:rsidRDefault="002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FE" w:rsidRDefault="002E59FE">
    <w:pPr>
      <w:spacing w:after="0" w:line="200" w:lineRule="exact"/>
      <w:rPr>
        <w:sz w:val="20"/>
        <w:szCs w:val="20"/>
      </w:rPr>
    </w:pPr>
  </w:p>
  <w:p w:rsidR="007A687A" w:rsidRDefault="007A687A" w:rsidP="0043748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82"/>
    <w:multiLevelType w:val="hybridMultilevel"/>
    <w:tmpl w:val="3656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53E"/>
    <w:multiLevelType w:val="hybridMultilevel"/>
    <w:tmpl w:val="8DF8E096"/>
    <w:lvl w:ilvl="0" w:tplc="BCDAA3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0631"/>
    <w:multiLevelType w:val="hybridMultilevel"/>
    <w:tmpl w:val="0E0C3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53ED"/>
    <w:multiLevelType w:val="hybridMultilevel"/>
    <w:tmpl w:val="F72C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0F86"/>
    <w:multiLevelType w:val="hybridMultilevel"/>
    <w:tmpl w:val="6EF0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6911"/>
    <w:multiLevelType w:val="hybridMultilevel"/>
    <w:tmpl w:val="B29A4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47445"/>
    <w:multiLevelType w:val="hybridMultilevel"/>
    <w:tmpl w:val="97E4AC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67B11"/>
    <w:multiLevelType w:val="hybridMultilevel"/>
    <w:tmpl w:val="293C6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64855"/>
    <w:multiLevelType w:val="hybridMultilevel"/>
    <w:tmpl w:val="5FEA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269B9"/>
    <w:multiLevelType w:val="hybridMultilevel"/>
    <w:tmpl w:val="D64C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3328"/>
    <w:multiLevelType w:val="hybridMultilevel"/>
    <w:tmpl w:val="9722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6336B"/>
    <w:multiLevelType w:val="hybridMultilevel"/>
    <w:tmpl w:val="90D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87593"/>
    <w:multiLevelType w:val="hybridMultilevel"/>
    <w:tmpl w:val="C8AAD4FC"/>
    <w:lvl w:ilvl="0" w:tplc="BCDAA3F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563CB"/>
    <w:multiLevelType w:val="hybridMultilevel"/>
    <w:tmpl w:val="6146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A59"/>
    <w:multiLevelType w:val="hybridMultilevel"/>
    <w:tmpl w:val="5056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60E45"/>
    <w:multiLevelType w:val="hybridMultilevel"/>
    <w:tmpl w:val="3A74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D5EA6"/>
    <w:multiLevelType w:val="hybridMultilevel"/>
    <w:tmpl w:val="A6F0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D742A"/>
    <w:multiLevelType w:val="hybridMultilevel"/>
    <w:tmpl w:val="5236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401D6"/>
    <w:multiLevelType w:val="hybridMultilevel"/>
    <w:tmpl w:val="C562F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E8419C"/>
    <w:multiLevelType w:val="hybridMultilevel"/>
    <w:tmpl w:val="8CE4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21CB"/>
    <w:multiLevelType w:val="hybridMultilevel"/>
    <w:tmpl w:val="E6969BE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7072A6"/>
    <w:multiLevelType w:val="hybridMultilevel"/>
    <w:tmpl w:val="4E9C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16502"/>
    <w:multiLevelType w:val="hybridMultilevel"/>
    <w:tmpl w:val="2FC613AE"/>
    <w:lvl w:ilvl="0" w:tplc="010A26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4414B"/>
    <w:multiLevelType w:val="hybridMultilevel"/>
    <w:tmpl w:val="22B6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53E0B"/>
    <w:multiLevelType w:val="hybridMultilevel"/>
    <w:tmpl w:val="FC76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47654"/>
    <w:multiLevelType w:val="hybridMultilevel"/>
    <w:tmpl w:val="9A680C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052663"/>
    <w:multiLevelType w:val="hybridMultilevel"/>
    <w:tmpl w:val="9D1C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20186"/>
    <w:multiLevelType w:val="hybridMultilevel"/>
    <w:tmpl w:val="3570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D2801"/>
    <w:multiLevelType w:val="hybridMultilevel"/>
    <w:tmpl w:val="A894E7F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A3F5A"/>
    <w:multiLevelType w:val="hybridMultilevel"/>
    <w:tmpl w:val="45E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913C0"/>
    <w:multiLevelType w:val="hybridMultilevel"/>
    <w:tmpl w:val="2F8446A0"/>
    <w:lvl w:ilvl="0" w:tplc="A71C65CE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F7B6836"/>
    <w:multiLevelType w:val="hybridMultilevel"/>
    <w:tmpl w:val="8ACE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5"/>
  </w:num>
  <w:num w:numId="5">
    <w:abstractNumId w:val="25"/>
  </w:num>
  <w:num w:numId="6">
    <w:abstractNumId w:val="31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19"/>
  </w:num>
  <w:num w:numId="12">
    <w:abstractNumId w:val="27"/>
  </w:num>
  <w:num w:numId="13">
    <w:abstractNumId w:val="28"/>
  </w:num>
  <w:num w:numId="14">
    <w:abstractNumId w:val="20"/>
  </w:num>
  <w:num w:numId="15">
    <w:abstractNumId w:val="7"/>
  </w:num>
  <w:num w:numId="16">
    <w:abstractNumId w:val="29"/>
  </w:num>
  <w:num w:numId="17">
    <w:abstractNumId w:val="18"/>
  </w:num>
  <w:num w:numId="18">
    <w:abstractNumId w:val="22"/>
  </w:num>
  <w:num w:numId="19">
    <w:abstractNumId w:val="12"/>
  </w:num>
  <w:num w:numId="20">
    <w:abstractNumId w:val="1"/>
  </w:num>
  <w:num w:numId="21">
    <w:abstractNumId w:val="26"/>
  </w:num>
  <w:num w:numId="22">
    <w:abstractNumId w:val="14"/>
  </w:num>
  <w:num w:numId="23">
    <w:abstractNumId w:val="10"/>
  </w:num>
  <w:num w:numId="24">
    <w:abstractNumId w:val="24"/>
  </w:num>
  <w:num w:numId="25">
    <w:abstractNumId w:val="23"/>
  </w:num>
  <w:num w:numId="26">
    <w:abstractNumId w:val="30"/>
  </w:num>
  <w:num w:numId="27">
    <w:abstractNumId w:val="3"/>
  </w:num>
  <w:num w:numId="28">
    <w:abstractNumId w:val="0"/>
  </w:num>
  <w:num w:numId="29">
    <w:abstractNumId w:val="13"/>
  </w:num>
  <w:num w:numId="30">
    <w:abstractNumId w:val="15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7E"/>
    <w:rsid w:val="00000045"/>
    <w:rsid w:val="00021A87"/>
    <w:rsid w:val="00022A9A"/>
    <w:rsid w:val="00030330"/>
    <w:rsid w:val="00031E0E"/>
    <w:rsid w:val="00034B02"/>
    <w:rsid w:val="00036770"/>
    <w:rsid w:val="000440E5"/>
    <w:rsid w:val="00045194"/>
    <w:rsid w:val="0004519B"/>
    <w:rsid w:val="00063AF2"/>
    <w:rsid w:val="00067DB6"/>
    <w:rsid w:val="00071AE9"/>
    <w:rsid w:val="000854D5"/>
    <w:rsid w:val="000B17E8"/>
    <w:rsid w:val="000B47F5"/>
    <w:rsid w:val="000B497F"/>
    <w:rsid w:val="000C2F7B"/>
    <w:rsid w:val="000C3294"/>
    <w:rsid w:val="000C5144"/>
    <w:rsid w:val="000C55C3"/>
    <w:rsid w:val="000C6AC2"/>
    <w:rsid w:val="001033C3"/>
    <w:rsid w:val="00123F42"/>
    <w:rsid w:val="00130C4E"/>
    <w:rsid w:val="001374F6"/>
    <w:rsid w:val="001440CB"/>
    <w:rsid w:val="001454D0"/>
    <w:rsid w:val="00155905"/>
    <w:rsid w:val="00155DF9"/>
    <w:rsid w:val="00164FED"/>
    <w:rsid w:val="0016679E"/>
    <w:rsid w:val="00166DE5"/>
    <w:rsid w:val="00172020"/>
    <w:rsid w:val="00194393"/>
    <w:rsid w:val="001945AF"/>
    <w:rsid w:val="0019556A"/>
    <w:rsid w:val="0019657F"/>
    <w:rsid w:val="001B22D4"/>
    <w:rsid w:val="001B38FE"/>
    <w:rsid w:val="001B6586"/>
    <w:rsid w:val="001C0B2C"/>
    <w:rsid w:val="001C10F6"/>
    <w:rsid w:val="001C2323"/>
    <w:rsid w:val="001C660D"/>
    <w:rsid w:val="001D2757"/>
    <w:rsid w:val="001E524D"/>
    <w:rsid w:val="001E6EDB"/>
    <w:rsid w:val="001F5F50"/>
    <w:rsid w:val="001F7625"/>
    <w:rsid w:val="00205137"/>
    <w:rsid w:val="00205EE0"/>
    <w:rsid w:val="00216767"/>
    <w:rsid w:val="002207C2"/>
    <w:rsid w:val="002252AF"/>
    <w:rsid w:val="002331B9"/>
    <w:rsid w:val="0023354C"/>
    <w:rsid w:val="0023553C"/>
    <w:rsid w:val="00241AE9"/>
    <w:rsid w:val="00242FC2"/>
    <w:rsid w:val="00246797"/>
    <w:rsid w:val="00247446"/>
    <w:rsid w:val="00247A88"/>
    <w:rsid w:val="00250097"/>
    <w:rsid w:val="00252C38"/>
    <w:rsid w:val="00260C60"/>
    <w:rsid w:val="002630F6"/>
    <w:rsid w:val="00263CCD"/>
    <w:rsid w:val="002914B7"/>
    <w:rsid w:val="00292AF1"/>
    <w:rsid w:val="002B1FDF"/>
    <w:rsid w:val="002B2012"/>
    <w:rsid w:val="002B7C08"/>
    <w:rsid w:val="002C158D"/>
    <w:rsid w:val="002E1B06"/>
    <w:rsid w:val="002E59FE"/>
    <w:rsid w:val="002E72CC"/>
    <w:rsid w:val="002E7D4F"/>
    <w:rsid w:val="002F6609"/>
    <w:rsid w:val="0030247E"/>
    <w:rsid w:val="00302F50"/>
    <w:rsid w:val="003126C2"/>
    <w:rsid w:val="00315B56"/>
    <w:rsid w:val="00321A82"/>
    <w:rsid w:val="00326746"/>
    <w:rsid w:val="003278A1"/>
    <w:rsid w:val="0033773E"/>
    <w:rsid w:val="00341D89"/>
    <w:rsid w:val="00341ED4"/>
    <w:rsid w:val="00342F98"/>
    <w:rsid w:val="0035541B"/>
    <w:rsid w:val="003569F6"/>
    <w:rsid w:val="00370C5A"/>
    <w:rsid w:val="00376C5B"/>
    <w:rsid w:val="00380FD6"/>
    <w:rsid w:val="00390519"/>
    <w:rsid w:val="00397B2F"/>
    <w:rsid w:val="003A59C6"/>
    <w:rsid w:val="003A71C4"/>
    <w:rsid w:val="003B515F"/>
    <w:rsid w:val="003B55FD"/>
    <w:rsid w:val="003B76C6"/>
    <w:rsid w:val="003C1356"/>
    <w:rsid w:val="003D09B1"/>
    <w:rsid w:val="003D77EE"/>
    <w:rsid w:val="003E1897"/>
    <w:rsid w:val="003E2294"/>
    <w:rsid w:val="003E26AC"/>
    <w:rsid w:val="003F2C14"/>
    <w:rsid w:val="003F38B0"/>
    <w:rsid w:val="00405171"/>
    <w:rsid w:val="00406592"/>
    <w:rsid w:val="004073A6"/>
    <w:rsid w:val="004123E5"/>
    <w:rsid w:val="004166EB"/>
    <w:rsid w:val="004169C4"/>
    <w:rsid w:val="00430CE7"/>
    <w:rsid w:val="00433E0F"/>
    <w:rsid w:val="00437486"/>
    <w:rsid w:val="004413A1"/>
    <w:rsid w:val="004414BA"/>
    <w:rsid w:val="00450784"/>
    <w:rsid w:val="00455E25"/>
    <w:rsid w:val="00464320"/>
    <w:rsid w:val="0047136B"/>
    <w:rsid w:val="0047305E"/>
    <w:rsid w:val="00473F05"/>
    <w:rsid w:val="00482098"/>
    <w:rsid w:val="00494B71"/>
    <w:rsid w:val="00497B6B"/>
    <w:rsid w:val="004A05C2"/>
    <w:rsid w:val="004A2396"/>
    <w:rsid w:val="004C75E1"/>
    <w:rsid w:val="004D2629"/>
    <w:rsid w:val="004D2810"/>
    <w:rsid w:val="004D3CAC"/>
    <w:rsid w:val="004E297B"/>
    <w:rsid w:val="004E6147"/>
    <w:rsid w:val="004E7E20"/>
    <w:rsid w:val="004F268A"/>
    <w:rsid w:val="004F49DF"/>
    <w:rsid w:val="004F6F5E"/>
    <w:rsid w:val="004F78E6"/>
    <w:rsid w:val="005055EE"/>
    <w:rsid w:val="00526A70"/>
    <w:rsid w:val="00531F1A"/>
    <w:rsid w:val="0053243D"/>
    <w:rsid w:val="00532E64"/>
    <w:rsid w:val="00555161"/>
    <w:rsid w:val="00573D77"/>
    <w:rsid w:val="005768CA"/>
    <w:rsid w:val="005A0205"/>
    <w:rsid w:val="005A5505"/>
    <w:rsid w:val="005A6652"/>
    <w:rsid w:val="005B0D7B"/>
    <w:rsid w:val="005B1B7A"/>
    <w:rsid w:val="005B49DC"/>
    <w:rsid w:val="005B5469"/>
    <w:rsid w:val="005C1435"/>
    <w:rsid w:val="005C42C2"/>
    <w:rsid w:val="005D3FF2"/>
    <w:rsid w:val="005E352F"/>
    <w:rsid w:val="005F2934"/>
    <w:rsid w:val="005F6CC0"/>
    <w:rsid w:val="0062108E"/>
    <w:rsid w:val="0062314B"/>
    <w:rsid w:val="00627E00"/>
    <w:rsid w:val="006309EA"/>
    <w:rsid w:val="0063620B"/>
    <w:rsid w:val="00641E0F"/>
    <w:rsid w:val="00646E9E"/>
    <w:rsid w:val="00651318"/>
    <w:rsid w:val="006550EE"/>
    <w:rsid w:val="006610FC"/>
    <w:rsid w:val="0066664F"/>
    <w:rsid w:val="0068188B"/>
    <w:rsid w:val="00687D69"/>
    <w:rsid w:val="00691B97"/>
    <w:rsid w:val="00696C72"/>
    <w:rsid w:val="006A5B19"/>
    <w:rsid w:val="006B29FB"/>
    <w:rsid w:val="006B684C"/>
    <w:rsid w:val="006D2A66"/>
    <w:rsid w:val="006E25B1"/>
    <w:rsid w:val="006F32A8"/>
    <w:rsid w:val="006F5F8E"/>
    <w:rsid w:val="0070057B"/>
    <w:rsid w:val="00700F41"/>
    <w:rsid w:val="00705A58"/>
    <w:rsid w:val="00706B82"/>
    <w:rsid w:val="00710A88"/>
    <w:rsid w:val="00715058"/>
    <w:rsid w:val="007222CB"/>
    <w:rsid w:val="00724DB1"/>
    <w:rsid w:val="00755D9D"/>
    <w:rsid w:val="00766900"/>
    <w:rsid w:val="00776549"/>
    <w:rsid w:val="00780EB4"/>
    <w:rsid w:val="00782E92"/>
    <w:rsid w:val="0078379C"/>
    <w:rsid w:val="0078576F"/>
    <w:rsid w:val="00790D09"/>
    <w:rsid w:val="007912A5"/>
    <w:rsid w:val="00791423"/>
    <w:rsid w:val="00797995"/>
    <w:rsid w:val="007A2AE8"/>
    <w:rsid w:val="007A2D6D"/>
    <w:rsid w:val="007A687A"/>
    <w:rsid w:val="007A7D62"/>
    <w:rsid w:val="007B6B56"/>
    <w:rsid w:val="007C5277"/>
    <w:rsid w:val="007C5767"/>
    <w:rsid w:val="007C7EF2"/>
    <w:rsid w:val="007E62CA"/>
    <w:rsid w:val="007F009E"/>
    <w:rsid w:val="007F1B05"/>
    <w:rsid w:val="007F27C5"/>
    <w:rsid w:val="007F79C4"/>
    <w:rsid w:val="00801306"/>
    <w:rsid w:val="008159F4"/>
    <w:rsid w:val="008257D9"/>
    <w:rsid w:val="00827463"/>
    <w:rsid w:val="00831C74"/>
    <w:rsid w:val="008347CC"/>
    <w:rsid w:val="00841041"/>
    <w:rsid w:val="008460C6"/>
    <w:rsid w:val="008461E5"/>
    <w:rsid w:val="008475F1"/>
    <w:rsid w:val="008505B6"/>
    <w:rsid w:val="0085427B"/>
    <w:rsid w:val="00863A3D"/>
    <w:rsid w:val="00865DC0"/>
    <w:rsid w:val="00872737"/>
    <w:rsid w:val="00890764"/>
    <w:rsid w:val="00891AE0"/>
    <w:rsid w:val="008958B5"/>
    <w:rsid w:val="008966B6"/>
    <w:rsid w:val="008A2D6D"/>
    <w:rsid w:val="008A344C"/>
    <w:rsid w:val="008A4D9A"/>
    <w:rsid w:val="008A5A92"/>
    <w:rsid w:val="008A668B"/>
    <w:rsid w:val="008B3368"/>
    <w:rsid w:val="008C0CC7"/>
    <w:rsid w:val="008C65EA"/>
    <w:rsid w:val="008C6B62"/>
    <w:rsid w:val="008C7299"/>
    <w:rsid w:val="008E4B34"/>
    <w:rsid w:val="008F3335"/>
    <w:rsid w:val="008F551E"/>
    <w:rsid w:val="00906B8C"/>
    <w:rsid w:val="0091460F"/>
    <w:rsid w:val="0091743C"/>
    <w:rsid w:val="00921069"/>
    <w:rsid w:val="00921F8D"/>
    <w:rsid w:val="00937035"/>
    <w:rsid w:val="00957405"/>
    <w:rsid w:val="009627D8"/>
    <w:rsid w:val="00964A47"/>
    <w:rsid w:val="009677CC"/>
    <w:rsid w:val="00975DE9"/>
    <w:rsid w:val="00980E8A"/>
    <w:rsid w:val="00983C23"/>
    <w:rsid w:val="00985AAA"/>
    <w:rsid w:val="00994F7C"/>
    <w:rsid w:val="009B3777"/>
    <w:rsid w:val="009C1DEA"/>
    <w:rsid w:val="009C319F"/>
    <w:rsid w:val="009F3F18"/>
    <w:rsid w:val="009F4E7F"/>
    <w:rsid w:val="00A02029"/>
    <w:rsid w:val="00A06214"/>
    <w:rsid w:val="00A0733D"/>
    <w:rsid w:val="00A07ADF"/>
    <w:rsid w:val="00A25E12"/>
    <w:rsid w:val="00A311BE"/>
    <w:rsid w:val="00A32E53"/>
    <w:rsid w:val="00A33684"/>
    <w:rsid w:val="00A432B7"/>
    <w:rsid w:val="00A43DCF"/>
    <w:rsid w:val="00A706B1"/>
    <w:rsid w:val="00A70A28"/>
    <w:rsid w:val="00A84B18"/>
    <w:rsid w:val="00A90D22"/>
    <w:rsid w:val="00A97102"/>
    <w:rsid w:val="00AA4F6F"/>
    <w:rsid w:val="00AB2806"/>
    <w:rsid w:val="00AB5417"/>
    <w:rsid w:val="00AC0E91"/>
    <w:rsid w:val="00AC59ED"/>
    <w:rsid w:val="00AD02B8"/>
    <w:rsid w:val="00AD07FC"/>
    <w:rsid w:val="00AD6A4B"/>
    <w:rsid w:val="00AE5288"/>
    <w:rsid w:val="00AF2544"/>
    <w:rsid w:val="00B02E54"/>
    <w:rsid w:val="00B04CB0"/>
    <w:rsid w:val="00B07180"/>
    <w:rsid w:val="00B22F78"/>
    <w:rsid w:val="00B23F55"/>
    <w:rsid w:val="00B27933"/>
    <w:rsid w:val="00B577EA"/>
    <w:rsid w:val="00B62220"/>
    <w:rsid w:val="00B721B7"/>
    <w:rsid w:val="00B85402"/>
    <w:rsid w:val="00B86FE5"/>
    <w:rsid w:val="00B9693F"/>
    <w:rsid w:val="00BA582B"/>
    <w:rsid w:val="00BB1B08"/>
    <w:rsid w:val="00BB3BD9"/>
    <w:rsid w:val="00BB663D"/>
    <w:rsid w:val="00BC50BC"/>
    <w:rsid w:val="00BC583A"/>
    <w:rsid w:val="00BC6900"/>
    <w:rsid w:val="00BD676F"/>
    <w:rsid w:val="00BD7BA9"/>
    <w:rsid w:val="00BE073A"/>
    <w:rsid w:val="00BF1B16"/>
    <w:rsid w:val="00C028C1"/>
    <w:rsid w:val="00C02964"/>
    <w:rsid w:val="00C33BD4"/>
    <w:rsid w:val="00C459ED"/>
    <w:rsid w:val="00C50DB8"/>
    <w:rsid w:val="00C56386"/>
    <w:rsid w:val="00C6065D"/>
    <w:rsid w:val="00C612BD"/>
    <w:rsid w:val="00C670AA"/>
    <w:rsid w:val="00C70EEC"/>
    <w:rsid w:val="00C72633"/>
    <w:rsid w:val="00C73EC8"/>
    <w:rsid w:val="00C74AE2"/>
    <w:rsid w:val="00C77AFC"/>
    <w:rsid w:val="00C83A83"/>
    <w:rsid w:val="00C95C1F"/>
    <w:rsid w:val="00C97A66"/>
    <w:rsid w:val="00CA3BD5"/>
    <w:rsid w:val="00CA4829"/>
    <w:rsid w:val="00CB20E2"/>
    <w:rsid w:val="00CB53D3"/>
    <w:rsid w:val="00CC3FF8"/>
    <w:rsid w:val="00CD62DC"/>
    <w:rsid w:val="00CF79A8"/>
    <w:rsid w:val="00D01180"/>
    <w:rsid w:val="00D12D55"/>
    <w:rsid w:val="00D4144A"/>
    <w:rsid w:val="00D43BFF"/>
    <w:rsid w:val="00D52C8B"/>
    <w:rsid w:val="00D542D8"/>
    <w:rsid w:val="00D71B47"/>
    <w:rsid w:val="00D7235F"/>
    <w:rsid w:val="00D73110"/>
    <w:rsid w:val="00D76147"/>
    <w:rsid w:val="00DA3A2E"/>
    <w:rsid w:val="00DA694C"/>
    <w:rsid w:val="00DA733C"/>
    <w:rsid w:val="00DC6C79"/>
    <w:rsid w:val="00DD1F42"/>
    <w:rsid w:val="00DE42CE"/>
    <w:rsid w:val="00DF59D0"/>
    <w:rsid w:val="00DF769D"/>
    <w:rsid w:val="00E14065"/>
    <w:rsid w:val="00E4126E"/>
    <w:rsid w:val="00E470BF"/>
    <w:rsid w:val="00E60A67"/>
    <w:rsid w:val="00E60BD4"/>
    <w:rsid w:val="00E625EA"/>
    <w:rsid w:val="00E7057A"/>
    <w:rsid w:val="00E73564"/>
    <w:rsid w:val="00E74717"/>
    <w:rsid w:val="00E84C28"/>
    <w:rsid w:val="00E9445E"/>
    <w:rsid w:val="00E966BD"/>
    <w:rsid w:val="00EA2BFF"/>
    <w:rsid w:val="00EA4EFE"/>
    <w:rsid w:val="00EA6261"/>
    <w:rsid w:val="00EB6311"/>
    <w:rsid w:val="00EB67C8"/>
    <w:rsid w:val="00EB6DBF"/>
    <w:rsid w:val="00ED6496"/>
    <w:rsid w:val="00EE78A6"/>
    <w:rsid w:val="00EF2EB0"/>
    <w:rsid w:val="00EF4205"/>
    <w:rsid w:val="00F2440D"/>
    <w:rsid w:val="00F320B4"/>
    <w:rsid w:val="00F44479"/>
    <w:rsid w:val="00F45A83"/>
    <w:rsid w:val="00F476BA"/>
    <w:rsid w:val="00F50A0F"/>
    <w:rsid w:val="00F56506"/>
    <w:rsid w:val="00F61FA6"/>
    <w:rsid w:val="00F62184"/>
    <w:rsid w:val="00F64F60"/>
    <w:rsid w:val="00F71888"/>
    <w:rsid w:val="00F84986"/>
    <w:rsid w:val="00F87461"/>
    <w:rsid w:val="00F93507"/>
    <w:rsid w:val="00F945C1"/>
    <w:rsid w:val="00FA07C5"/>
    <w:rsid w:val="00FA7688"/>
    <w:rsid w:val="00FB364F"/>
    <w:rsid w:val="00FB6425"/>
    <w:rsid w:val="00FD20F9"/>
    <w:rsid w:val="00FD2B6F"/>
    <w:rsid w:val="00FE0BE3"/>
    <w:rsid w:val="00FE1F29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C23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C23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23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C232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8379C"/>
    <w:pPr>
      <w:widowControl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123F42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975D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27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0C5A"/>
    <w:rPr>
      <w:color w:val="0000FF"/>
      <w:u w:val="single"/>
    </w:rPr>
  </w:style>
  <w:style w:type="character" w:customStyle="1" w:styleId="A1">
    <w:name w:val="A1"/>
    <w:uiPriority w:val="99"/>
    <w:rsid w:val="001454D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C23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C23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23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1C232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8379C"/>
    <w:pPr>
      <w:widowControl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123F42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975D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27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70C5A"/>
    <w:rPr>
      <w:color w:val="0000FF"/>
      <w:u w:val="single"/>
    </w:rPr>
  </w:style>
  <w:style w:type="character" w:customStyle="1" w:styleId="A1">
    <w:name w:val="A1"/>
    <w:uiPriority w:val="99"/>
    <w:rsid w:val="001454D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fh.libraryservices.nhs.uk/current-awaren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edslibraries.nhs.uk/resources/personal-stor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royd\AppData\Local\Microsoft\Windows\Temporary%20Internet%20Files\Content.Outlook\BJRTBWIF\KfH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0104-F55F-41CE-88CF-A1527E3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KfH Minutes template.dotx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Gilroy Dominic</dc:creator>
  <cp:lastModifiedBy>Joel Kerry</cp:lastModifiedBy>
  <cp:revision>2</cp:revision>
  <cp:lastPrinted>2018-04-30T11:01:00Z</cp:lastPrinted>
  <dcterms:created xsi:type="dcterms:W3CDTF">2018-05-11T10:04:00Z</dcterms:created>
  <dcterms:modified xsi:type="dcterms:W3CDTF">2018-05-11T10:04:00Z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0x01010098AD07465DD99344B14F86FC4BA162EF</vt:lpwstr>
  </property>
</Properties>
</file>