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725E6" w14:textId="77777777" w:rsidR="00962B8B" w:rsidRPr="00962B8B" w:rsidRDefault="001120A7" w:rsidP="00962B8B">
      <w:pPr>
        <w:pBdr>
          <w:bottom w:val="single" w:sz="6" w:space="1" w:color="auto"/>
        </w:pBdr>
        <w:rPr>
          <w:b/>
          <w:color w:val="4F6228" w:themeColor="accent3" w:themeShade="80"/>
          <w:lang w:val="en-GB"/>
        </w:rPr>
      </w:pPr>
      <w:bookmarkStart w:id="0" w:name="_GoBack"/>
      <w:bookmarkEnd w:id="0"/>
      <w:r w:rsidRPr="00962B8B">
        <w:rPr>
          <w:noProof/>
          <w:color w:val="76923C" w:themeColor="accent3" w:themeShade="BF"/>
          <w:lang w:val="en-GB" w:eastAsia="en-GB"/>
        </w:rPr>
        <w:drawing>
          <wp:inline distT="0" distB="0" distL="0" distR="0" wp14:anchorId="1290666A" wp14:editId="48B59E70">
            <wp:extent cx="475700" cy="450850"/>
            <wp:effectExtent l="19050" t="19050" r="19685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952" cy="452036"/>
                    </a:xfrm>
                    <a:prstGeom prst="rect">
                      <a:avLst/>
                    </a:prstGeom>
                    <a:ln w="1270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6A7C1C" w:rsidRPr="00962B8B">
        <w:rPr>
          <w:rFonts w:asciiTheme="minorHAnsi" w:hAnsiTheme="minorHAnsi"/>
          <w:color w:val="76923C" w:themeColor="accent3" w:themeShade="BF"/>
          <w:lang w:val="en-GB"/>
        </w:rPr>
        <w:t xml:space="preserve"> </w:t>
      </w:r>
      <w:r w:rsidR="0093601A" w:rsidRPr="007A18FC">
        <w:rPr>
          <w:color w:val="4F6228" w:themeColor="accent3" w:themeShade="80"/>
          <w:sz w:val="44"/>
          <w:szCs w:val="44"/>
          <w:lang w:val="en-GB"/>
        </w:rPr>
        <w:t xml:space="preserve">Clinical Librarian </w:t>
      </w:r>
      <w:r w:rsidR="00264C46" w:rsidRPr="007A18FC">
        <w:rPr>
          <w:color w:val="4F6228" w:themeColor="accent3" w:themeShade="80"/>
          <w:sz w:val="44"/>
          <w:szCs w:val="44"/>
          <w:lang w:val="en-GB"/>
        </w:rPr>
        <w:t>Search Summary</w:t>
      </w:r>
      <w:r w:rsidR="0093601A" w:rsidRPr="00962B8B">
        <w:rPr>
          <w:color w:val="4F6228" w:themeColor="accent3" w:themeShade="80"/>
          <w:lang w:val="en-GB"/>
        </w:rPr>
        <w:t xml:space="preserve"> </w:t>
      </w:r>
    </w:p>
    <w:p w14:paraId="03F5E577" w14:textId="77777777" w:rsidR="00264C46" w:rsidRPr="00962B8B" w:rsidRDefault="0093601A" w:rsidP="00962B8B">
      <w:pPr>
        <w:rPr>
          <w:b/>
          <w:color w:val="76923C" w:themeColor="accent3" w:themeShade="BF"/>
          <w:lang w:val="en-GB"/>
        </w:rPr>
      </w:pPr>
      <w:r w:rsidRPr="00962B8B">
        <w:rPr>
          <w:b/>
          <w:lang w:val="en-GB"/>
        </w:rPr>
        <w:t xml:space="preserve">      </w:t>
      </w:r>
    </w:p>
    <w:p w14:paraId="0B70B1D8" w14:textId="77777777" w:rsidR="00DE636B" w:rsidRDefault="00DE636B" w:rsidP="00264C46">
      <w:pPr>
        <w:rPr>
          <w:rFonts w:asciiTheme="minorHAnsi" w:hAnsiTheme="minorHAnsi" w:cstheme="minorHAnsi"/>
          <w:b/>
          <w:sz w:val="22"/>
          <w:szCs w:val="22"/>
        </w:rPr>
        <w:sectPr w:rsidR="00DE636B" w:rsidSect="00590172">
          <w:headerReference w:type="default" r:id="rId10"/>
          <w:footerReference w:type="default" r:id="rId11"/>
          <w:pgSz w:w="12240" w:h="15840"/>
          <w:pgMar w:top="1021" w:right="1797" w:bottom="1021" w:left="1797" w:header="720" w:footer="720" w:gutter="0"/>
          <w:cols w:space="720"/>
          <w:docGrid w:linePitch="360"/>
        </w:sectPr>
      </w:pPr>
    </w:p>
    <w:p w14:paraId="7D635400" w14:textId="7C97EFEF" w:rsidR="00AF50EA" w:rsidRPr="000251E2" w:rsidRDefault="00264C46" w:rsidP="00264C46">
      <w:pPr>
        <w:rPr>
          <w:rFonts w:asciiTheme="minorHAnsi" w:hAnsiTheme="minorHAnsi" w:cstheme="minorHAnsi"/>
          <w:b/>
          <w:sz w:val="20"/>
          <w:szCs w:val="20"/>
        </w:rPr>
      </w:pPr>
      <w:r w:rsidRPr="000251E2">
        <w:rPr>
          <w:rFonts w:asciiTheme="minorHAnsi" w:hAnsiTheme="minorHAnsi" w:cstheme="minorHAnsi"/>
          <w:b/>
          <w:sz w:val="20"/>
          <w:szCs w:val="20"/>
        </w:rPr>
        <w:lastRenderedPageBreak/>
        <w:t xml:space="preserve">Date Received: </w:t>
      </w:r>
      <w:r w:rsidR="00CC6819">
        <w:rPr>
          <w:rFonts w:asciiTheme="minorHAnsi" w:hAnsiTheme="minorHAnsi" w:cstheme="minorHAnsi"/>
          <w:b/>
          <w:sz w:val="20"/>
          <w:szCs w:val="20"/>
        </w:rPr>
        <w:t>18/3/20</w:t>
      </w:r>
    </w:p>
    <w:p w14:paraId="669A8E77" w14:textId="34A93A18" w:rsidR="00AF50EA" w:rsidRPr="000251E2" w:rsidRDefault="00264C46" w:rsidP="00264C46">
      <w:pPr>
        <w:rPr>
          <w:rFonts w:asciiTheme="minorHAnsi" w:hAnsiTheme="minorHAnsi" w:cstheme="minorHAnsi"/>
          <w:b/>
          <w:sz w:val="20"/>
          <w:szCs w:val="20"/>
        </w:rPr>
      </w:pPr>
      <w:r w:rsidRPr="000251E2">
        <w:rPr>
          <w:rFonts w:asciiTheme="minorHAnsi" w:hAnsiTheme="minorHAnsi" w:cstheme="minorHAnsi"/>
          <w:b/>
          <w:sz w:val="20"/>
          <w:szCs w:val="20"/>
        </w:rPr>
        <w:t xml:space="preserve">Date Due: </w:t>
      </w:r>
      <w:r w:rsidR="00CC6819">
        <w:rPr>
          <w:rFonts w:asciiTheme="minorHAnsi" w:hAnsiTheme="minorHAnsi" w:cstheme="minorHAnsi"/>
          <w:b/>
          <w:sz w:val="20"/>
          <w:szCs w:val="20"/>
        </w:rPr>
        <w:t>15/4/20</w:t>
      </w:r>
    </w:p>
    <w:p w14:paraId="52585ED8" w14:textId="3A4E957C" w:rsidR="00264C46" w:rsidRPr="000251E2" w:rsidRDefault="00264C46" w:rsidP="00264C46">
      <w:pPr>
        <w:rPr>
          <w:rFonts w:asciiTheme="minorHAnsi" w:hAnsiTheme="minorHAnsi" w:cstheme="minorHAnsi"/>
          <w:b/>
          <w:sz w:val="20"/>
          <w:szCs w:val="20"/>
        </w:rPr>
      </w:pPr>
      <w:r w:rsidRPr="000251E2">
        <w:rPr>
          <w:rFonts w:asciiTheme="minorHAnsi" w:hAnsiTheme="minorHAnsi" w:cstheme="minorHAnsi"/>
          <w:b/>
          <w:sz w:val="20"/>
          <w:szCs w:val="20"/>
        </w:rPr>
        <w:lastRenderedPageBreak/>
        <w:t xml:space="preserve">Total time taken: </w:t>
      </w:r>
      <w:r w:rsidR="00845ED5">
        <w:rPr>
          <w:rFonts w:asciiTheme="minorHAnsi" w:hAnsiTheme="minorHAnsi" w:cstheme="minorHAnsi"/>
          <w:b/>
          <w:sz w:val="20"/>
          <w:szCs w:val="20"/>
        </w:rPr>
        <w:t>8 Hours</w:t>
      </w:r>
      <w:r w:rsidRPr="000251E2">
        <w:rPr>
          <w:rFonts w:asciiTheme="minorHAnsi" w:hAnsiTheme="minorHAnsi" w:cstheme="minorHAnsi"/>
          <w:b/>
          <w:sz w:val="20"/>
          <w:szCs w:val="20"/>
        </w:rPr>
        <w:br/>
        <w:t xml:space="preserve">Number of full-text documents sent: </w:t>
      </w:r>
      <w:r w:rsidR="00845ED5">
        <w:rPr>
          <w:rFonts w:asciiTheme="minorHAnsi" w:hAnsiTheme="minorHAnsi" w:cstheme="minorHAnsi"/>
          <w:b/>
          <w:sz w:val="20"/>
          <w:szCs w:val="20"/>
        </w:rPr>
        <w:t>9</w:t>
      </w:r>
    </w:p>
    <w:p w14:paraId="233B68BA" w14:textId="77777777" w:rsidR="00DE636B" w:rsidRPr="000251E2" w:rsidRDefault="00DE636B" w:rsidP="00264C46">
      <w:pPr>
        <w:rPr>
          <w:rFonts w:asciiTheme="minorHAnsi" w:hAnsiTheme="minorHAnsi" w:cstheme="minorHAnsi"/>
          <w:b/>
          <w:sz w:val="20"/>
          <w:szCs w:val="20"/>
        </w:rPr>
        <w:sectPr w:rsidR="00DE636B" w:rsidRPr="000251E2" w:rsidSect="00DE636B">
          <w:type w:val="continuous"/>
          <w:pgSz w:w="12240" w:h="15840"/>
          <w:pgMar w:top="1021" w:right="1797" w:bottom="1021" w:left="1797" w:header="720" w:footer="720" w:gutter="0"/>
          <w:cols w:num="2" w:space="720"/>
          <w:docGrid w:linePitch="360"/>
        </w:sectPr>
      </w:pPr>
    </w:p>
    <w:p w14:paraId="392D5C65" w14:textId="77777777" w:rsidR="00264C46" w:rsidRPr="000251E2" w:rsidRDefault="00264C46" w:rsidP="00264C4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7"/>
        <w:gridCol w:w="7757"/>
      </w:tblGrid>
      <w:tr w:rsidR="00A81E71" w:rsidRPr="000251E2" w14:paraId="3973067C" w14:textId="77777777" w:rsidTr="00D818A7">
        <w:tc>
          <w:tcPr>
            <w:tcW w:w="997" w:type="dxa"/>
          </w:tcPr>
          <w:p w14:paraId="1C3E6AB5" w14:textId="77777777" w:rsidR="00A81E71" w:rsidRPr="000251E2" w:rsidRDefault="00A81E71" w:rsidP="00264C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1E2">
              <w:rPr>
                <w:rFonts w:asciiTheme="minorHAnsi" w:hAnsiTheme="minorHAnsi" w:cstheme="minorHAnsi"/>
                <w:sz w:val="20"/>
                <w:szCs w:val="20"/>
              </w:rPr>
              <w:t>Question</w:t>
            </w:r>
          </w:p>
        </w:tc>
        <w:tc>
          <w:tcPr>
            <w:tcW w:w="7757" w:type="dxa"/>
          </w:tcPr>
          <w:p w14:paraId="21905754" w14:textId="05624494" w:rsidR="00A81E71" w:rsidRPr="000251E2" w:rsidRDefault="00CC6819" w:rsidP="009B60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Mast cell activation syndrome and impact during pregnancy and birth.</w:t>
            </w:r>
          </w:p>
        </w:tc>
      </w:tr>
    </w:tbl>
    <w:p w14:paraId="0CCC9C24" w14:textId="77777777" w:rsidR="00264C46" w:rsidRPr="0093601A" w:rsidRDefault="00264C46" w:rsidP="00264C46">
      <w:pPr>
        <w:rPr>
          <w:rFonts w:asciiTheme="minorHAnsi" w:hAnsiTheme="minorHAnsi" w:cstheme="minorHAnsi"/>
          <w:sz w:val="22"/>
          <w:szCs w:val="22"/>
        </w:rPr>
      </w:pPr>
    </w:p>
    <w:p w14:paraId="208EC36F" w14:textId="77777777" w:rsidR="00D0632B" w:rsidRPr="0093601A" w:rsidRDefault="00D0632B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94"/>
        <w:gridCol w:w="303"/>
        <w:gridCol w:w="222"/>
        <w:gridCol w:w="222"/>
        <w:gridCol w:w="222"/>
        <w:gridCol w:w="236"/>
        <w:gridCol w:w="236"/>
        <w:gridCol w:w="222"/>
        <w:gridCol w:w="222"/>
        <w:gridCol w:w="1076"/>
        <w:gridCol w:w="303"/>
      </w:tblGrid>
      <w:tr w:rsidR="00A77F5E" w:rsidRPr="0093601A" w14:paraId="4C749E49" w14:textId="77777777" w:rsidTr="00A77F5E">
        <w:tc>
          <w:tcPr>
            <w:tcW w:w="0" w:type="auto"/>
          </w:tcPr>
          <w:p w14:paraId="1FEC2F33" w14:textId="77777777" w:rsidR="00A77F5E" w:rsidRPr="000251E2" w:rsidRDefault="00A77F5E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0251E2">
              <w:rPr>
                <w:rFonts w:asciiTheme="minorHAnsi" w:hAnsiTheme="minorHAnsi"/>
                <w:b/>
                <w:sz w:val="20"/>
                <w:szCs w:val="22"/>
              </w:rPr>
              <w:t xml:space="preserve">Type of Evidence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2DB8202" w14:textId="77777777" w:rsidR="00A77F5E" w:rsidRPr="000251E2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74F54" w14:textId="77777777" w:rsidR="00A77F5E" w:rsidRPr="000251E2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4B4A17" w14:textId="77777777" w:rsidR="00A77F5E" w:rsidRPr="00A77F5E" w:rsidRDefault="00A77F5E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6648DF" w14:textId="77777777" w:rsidR="00A77F5E" w:rsidRPr="00A77F5E" w:rsidRDefault="00A77F5E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0657DE" w14:textId="77777777" w:rsidR="00A77F5E" w:rsidRPr="00A77F5E" w:rsidRDefault="00A77F5E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65DD14" w14:textId="77777777" w:rsidR="00A77F5E" w:rsidRPr="00A77F5E" w:rsidRDefault="00A77F5E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DF24A6" w14:textId="77777777" w:rsidR="00A77F5E" w:rsidRPr="00A77F5E" w:rsidRDefault="00A77F5E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DF315" w14:textId="77777777" w:rsidR="00A77F5E" w:rsidRPr="00A77F5E" w:rsidRDefault="00A77F5E" w:rsidP="006C0680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B3535B" w14:textId="77777777" w:rsidR="00A77F5E" w:rsidRPr="00A77F5E" w:rsidRDefault="00A77F5E" w:rsidP="006C0680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A77F5E">
              <w:rPr>
                <w:rFonts w:asciiTheme="minorHAnsi" w:hAnsiTheme="minorHAnsi"/>
                <w:b/>
                <w:sz w:val="20"/>
                <w:szCs w:val="22"/>
              </w:rPr>
              <w:t>Databases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A505" w14:textId="77777777" w:rsidR="00A77F5E" w:rsidRPr="000251E2" w:rsidRDefault="00A77F5E" w:rsidP="006C068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77F5E" w:rsidRPr="0093601A" w14:paraId="0CFCEA00" w14:textId="77777777" w:rsidTr="00A77F5E">
        <w:tc>
          <w:tcPr>
            <w:tcW w:w="0" w:type="auto"/>
          </w:tcPr>
          <w:p w14:paraId="30E93EE5" w14:textId="77777777" w:rsidR="00A77F5E" w:rsidRPr="000251E2" w:rsidRDefault="00A77F5E" w:rsidP="00C8478B">
            <w:pPr>
              <w:rPr>
                <w:rFonts w:asciiTheme="minorHAnsi" w:hAnsiTheme="minorHAnsi"/>
                <w:sz w:val="20"/>
                <w:szCs w:val="22"/>
              </w:rPr>
            </w:pPr>
            <w:r w:rsidRPr="000251E2">
              <w:rPr>
                <w:rFonts w:asciiTheme="minorHAnsi" w:hAnsiTheme="minorHAnsi"/>
                <w:sz w:val="20"/>
                <w:szCs w:val="22"/>
              </w:rPr>
              <w:t>National/International Guideline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1EB200" w14:textId="26599EFA" w:rsidR="00A77F5E" w:rsidRPr="000251E2" w:rsidRDefault="00CF2A39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FAFE5" w14:textId="77777777" w:rsidR="00A77F5E" w:rsidRPr="000251E2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2BD4D0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8FE343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0E67EA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B56F66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7F6B68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835F9" w14:textId="77777777" w:rsidR="00A77F5E" w:rsidRDefault="00A77F5E" w:rsidP="006C068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4B45FC" w14:textId="77777777" w:rsidR="00A77F5E" w:rsidRPr="000251E2" w:rsidRDefault="00A77F5E" w:rsidP="006C0680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BMJ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94B0" w14:textId="652132CB" w:rsidR="00A77F5E" w:rsidRPr="000251E2" w:rsidRDefault="00FD516F" w:rsidP="006C0680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x</w:t>
            </w:r>
          </w:p>
        </w:tc>
      </w:tr>
      <w:tr w:rsidR="00A77F5E" w:rsidRPr="0093601A" w14:paraId="3F4C189E" w14:textId="77777777" w:rsidTr="00A77F5E">
        <w:tc>
          <w:tcPr>
            <w:tcW w:w="0" w:type="auto"/>
          </w:tcPr>
          <w:p w14:paraId="5DA9BA92" w14:textId="77777777" w:rsidR="00A77F5E" w:rsidRPr="000251E2" w:rsidRDefault="00A77F5E">
            <w:pPr>
              <w:rPr>
                <w:rFonts w:asciiTheme="minorHAnsi" w:hAnsiTheme="minorHAnsi"/>
                <w:sz w:val="20"/>
                <w:szCs w:val="22"/>
              </w:rPr>
            </w:pPr>
            <w:r w:rsidRPr="000251E2">
              <w:rPr>
                <w:rFonts w:asciiTheme="minorHAnsi" w:hAnsiTheme="minorHAnsi"/>
                <w:sz w:val="20"/>
                <w:szCs w:val="22"/>
              </w:rPr>
              <w:t>Government</w:t>
            </w:r>
            <w:r>
              <w:rPr>
                <w:rFonts w:asciiTheme="minorHAnsi" w:hAnsiTheme="minorHAnsi"/>
                <w:sz w:val="20"/>
                <w:szCs w:val="22"/>
              </w:rPr>
              <w:t>/ Professional Body</w:t>
            </w:r>
            <w:r w:rsidRPr="000251E2">
              <w:rPr>
                <w:rFonts w:asciiTheme="minorHAnsi" w:hAnsiTheme="minorHAnsi"/>
                <w:sz w:val="20"/>
                <w:szCs w:val="22"/>
              </w:rPr>
              <w:t xml:space="preserve"> Report</w:t>
            </w:r>
            <w:r>
              <w:rPr>
                <w:rFonts w:asciiTheme="minorHAnsi" w:hAnsiTheme="minorHAnsi"/>
                <w:sz w:val="20"/>
                <w:szCs w:val="22"/>
              </w:rPr>
              <w:t>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675232" w14:textId="1F7E3EEA" w:rsidR="00A77F5E" w:rsidRPr="000251E2" w:rsidRDefault="00CF2A39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93C3A" w14:textId="77777777" w:rsidR="00A77F5E" w:rsidRPr="000251E2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1864C5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DEC263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D454AA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C0CB9B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4FEEF3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E9A7F" w14:textId="77777777" w:rsidR="00A77F5E" w:rsidRDefault="00A77F5E" w:rsidP="006C068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C9D925" w14:textId="77777777" w:rsidR="00A77F5E" w:rsidRPr="000251E2" w:rsidRDefault="00A77F5E" w:rsidP="006C0680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CINAHL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692" w14:textId="39FA6443" w:rsidR="00A77F5E" w:rsidRPr="000251E2" w:rsidRDefault="004C41A0" w:rsidP="006C0680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x</w:t>
            </w:r>
          </w:p>
        </w:tc>
      </w:tr>
      <w:tr w:rsidR="00A77F5E" w:rsidRPr="0093601A" w14:paraId="2E166307" w14:textId="77777777" w:rsidTr="00A77F5E">
        <w:tc>
          <w:tcPr>
            <w:tcW w:w="0" w:type="auto"/>
          </w:tcPr>
          <w:p w14:paraId="65594D79" w14:textId="77777777" w:rsidR="00A77F5E" w:rsidRPr="000251E2" w:rsidRDefault="00A77F5E" w:rsidP="00587948">
            <w:pPr>
              <w:rPr>
                <w:rFonts w:asciiTheme="minorHAnsi" w:hAnsiTheme="minorHAnsi"/>
                <w:sz w:val="20"/>
                <w:szCs w:val="22"/>
              </w:rPr>
            </w:pPr>
            <w:r w:rsidRPr="000251E2">
              <w:rPr>
                <w:rFonts w:asciiTheme="minorHAnsi" w:hAnsiTheme="minorHAnsi"/>
                <w:sz w:val="20"/>
                <w:szCs w:val="22"/>
              </w:rPr>
              <w:t>Point of Care Resource</w:t>
            </w:r>
            <w:r>
              <w:rPr>
                <w:rFonts w:asciiTheme="minorHAnsi" w:hAnsiTheme="minorHAnsi"/>
                <w:sz w:val="20"/>
                <w:szCs w:val="22"/>
              </w:rPr>
              <w:t>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FE0043" w14:textId="45A6732F" w:rsidR="00A77F5E" w:rsidRPr="000251E2" w:rsidRDefault="00FD516F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CD400" w14:textId="77777777" w:rsidR="00A77F5E" w:rsidRPr="000251E2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3DA650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22529B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C7F4C6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06427E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31D1A3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42956" w14:textId="77777777" w:rsidR="00A77F5E" w:rsidRDefault="00A77F5E" w:rsidP="006C068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2C140" w14:textId="3E58F6D1" w:rsidR="00A77F5E" w:rsidRPr="000251E2" w:rsidRDefault="00845ED5" w:rsidP="006C0680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EMBASE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9B81" w14:textId="760175E8" w:rsidR="00A77F5E" w:rsidRPr="000251E2" w:rsidRDefault="00845ED5" w:rsidP="006C0680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x</w:t>
            </w:r>
          </w:p>
        </w:tc>
      </w:tr>
      <w:tr w:rsidR="00A77F5E" w:rsidRPr="0093601A" w14:paraId="75A9A0F4" w14:textId="77777777" w:rsidTr="00A77F5E">
        <w:tc>
          <w:tcPr>
            <w:tcW w:w="0" w:type="auto"/>
          </w:tcPr>
          <w:p w14:paraId="2BE1E21B" w14:textId="77777777" w:rsidR="00A77F5E" w:rsidRPr="000251E2" w:rsidRDefault="00A77F5E">
            <w:pPr>
              <w:rPr>
                <w:rFonts w:asciiTheme="minorHAnsi" w:hAnsiTheme="minorHAnsi"/>
                <w:sz w:val="20"/>
                <w:szCs w:val="22"/>
              </w:rPr>
            </w:pPr>
            <w:r w:rsidRPr="000251E2">
              <w:rPr>
                <w:rFonts w:asciiTheme="minorHAnsi" w:hAnsiTheme="minorHAnsi"/>
                <w:sz w:val="20"/>
                <w:szCs w:val="22"/>
              </w:rPr>
              <w:t>Cochrane/Systematic Reviews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ABE221" w14:textId="77777777" w:rsidR="00A77F5E" w:rsidRPr="000251E2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EC7EE" w14:textId="77777777" w:rsidR="00A77F5E" w:rsidRPr="000251E2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18DB4B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A179F5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D057D7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C6908C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A43999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2589A" w14:textId="77777777" w:rsidR="00A77F5E" w:rsidRDefault="00A77F5E" w:rsidP="006C068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4E0ABB" w14:textId="77777777" w:rsidR="00A77F5E" w:rsidRPr="000251E2" w:rsidRDefault="00A77F5E" w:rsidP="006C0680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Medline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5903" w14:textId="55E53EFF" w:rsidR="00A77F5E" w:rsidRPr="000251E2" w:rsidRDefault="004C41A0" w:rsidP="006C0680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x</w:t>
            </w:r>
          </w:p>
        </w:tc>
      </w:tr>
      <w:tr w:rsidR="00A77F5E" w:rsidRPr="0093601A" w14:paraId="5065604C" w14:textId="77777777" w:rsidTr="00A77F5E">
        <w:tc>
          <w:tcPr>
            <w:tcW w:w="0" w:type="auto"/>
          </w:tcPr>
          <w:p w14:paraId="07909AD1" w14:textId="77777777" w:rsidR="00A77F5E" w:rsidRPr="000251E2" w:rsidRDefault="00A77F5E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Cross Sectional Studies/</w:t>
            </w:r>
            <w:r w:rsidRPr="000251E2">
              <w:rPr>
                <w:rFonts w:asciiTheme="minorHAnsi" w:hAnsiTheme="minorHAnsi"/>
                <w:sz w:val="20"/>
                <w:szCs w:val="22"/>
              </w:rPr>
              <w:t>Controlled Trials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90063D" w14:textId="7D2A0168" w:rsidR="00A77F5E" w:rsidRPr="000251E2" w:rsidRDefault="004C41A0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C227C" w14:textId="77777777" w:rsidR="00A77F5E" w:rsidRPr="000251E2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D3BE1A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3090C3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2E4DDA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6D62D5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757FE2" w14:textId="77777777" w:rsidR="00A77F5E" w:rsidRDefault="00A77F5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800A1" w14:textId="77777777" w:rsidR="00A77F5E" w:rsidRDefault="00A77F5E" w:rsidP="006C068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D002D" w14:textId="77777777" w:rsidR="00A77F5E" w:rsidRPr="000251E2" w:rsidRDefault="00A77F5E" w:rsidP="006C0680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NICE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7019" w14:textId="77777777" w:rsidR="00A77F5E" w:rsidRPr="000251E2" w:rsidRDefault="00A77F5E" w:rsidP="006C068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77F5E" w:rsidRPr="0093601A" w14:paraId="64DA23BB" w14:textId="77777777" w:rsidTr="00A77F5E">
        <w:tc>
          <w:tcPr>
            <w:tcW w:w="0" w:type="auto"/>
          </w:tcPr>
          <w:p w14:paraId="5C2C2F0E" w14:textId="77777777" w:rsidR="00A77F5E" w:rsidRPr="000251E2" w:rsidRDefault="00A77F5E" w:rsidP="000251E2">
            <w:pPr>
              <w:rPr>
                <w:rFonts w:asciiTheme="minorHAnsi" w:hAnsiTheme="minorHAnsi"/>
                <w:sz w:val="20"/>
                <w:szCs w:val="22"/>
              </w:rPr>
            </w:pPr>
            <w:r w:rsidRPr="000251E2">
              <w:rPr>
                <w:rFonts w:asciiTheme="minorHAnsi" w:hAnsiTheme="minorHAnsi"/>
                <w:sz w:val="20"/>
                <w:szCs w:val="22"/>
              </w:rPr>
              <w:t>Case Studies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616180F" w14:textId="4F84F010" w:rsidR="00A77F5E" w:rsidRPr="000251E2" w:rsidRDefault="004C41A0" w:rsidP="006A7C1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5C779" w14:textId="77777777" w:rsidR="00A77F5E" w:rsidRPr="000251E2" w:rsidRDefault="00A77F5E" w:rsidP="006A7C1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E2467F" w14:textId="77777777" w:rsidR="00A77F5E" w:rsidRDefault="00A77F5E" w:rsidP="006A7C1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B7524C" w14:textId="77777777" w:rsidR="00A77F5E" w:rsidRDefault="00A77F5E" w:rsidP="006A7C1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DD177C" w14:textId="77777777" w:rsidR="00A77F5E" w:rsidRDefault="00A77F5E" w:rsidP="006A7C1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DABCC5" w14:textId="77777777" w:rsidR="00A77F5E" w:rsidRDefault="00A77F5E" w:rsidP="006A7C1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88D1C6" w14:textId="77777777" w:rsidR="00A77F5E" w:rsidRDefault="00A77F5E" w:rsidP="006A7C1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44451" w14:textId="77777777" w:rsidR="00A77F5E" w:rsidRDefault="00A77F5E" w:rsidP="006C068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1D916C" w14:textId="77777777" w:rsidR="00A77F5E" w:rsidRPr="000251E2" w:rsidRDefault="00A77F5E" w:rsidP="006C0680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Psychinfo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A657" w14:textId="77777777" w:rsidR="00A77F5E" w:rsidRPr="000251E2" w:rsidRDefault="00A77F5E" w:rsidP="006C068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77F5E" w:rsidRPr="0093601A" w14:paraId="43575039" w14:textId="77777777" w:rsidTr="00A77F5E">
        <w:tc>
          <w:tcPr>
            <w:tcW w:w="0" w:type="auto"/>
          </w:tcPr>
          <w:p w14:paraId="1F99ABC1" w14:textId="77777777" w:rsidR="00A77F5E" w:rsidRPr="000251E2" w:rsidRDefault="00A77F5E" w:rsidP="00587948">
            <w:pPr>
              <w:rPr>
                <w:rFonts w:asciiTheme="minorHAnsi" w:hAnsiTheme="minorHAnsi"/>
                <w:sz w:val="20"/>
                <w:szCs w:val="22"/>
              </w:rPr>
            </w:pPr>
            <w:r w:rsidRPr="000251E2">
              <w:rPr>
                <w:rFonts w:asciiTheme="minorHAnsi" w:hAnsiTheme="minorHAnsi"/>
                <w:sz w:val="20"/>
                <w:szCs w:val="22"/>
              </w:rPr>
              <w:t>Conference Abstracts</w:t>
            </w:r>
            <w:r>
              <w:rPr>
                <w:rFonts w:asciiTheme="minorHAnsi" w:hAnsiTheme="minorHAnsi"/>
                <w:sz w:val="20"/>
                <w:szCs w:val="22"/>
              </w:rPr>
              <w:t>/Editorials/Letters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5ED763" w14:textId="77777777" w:rsidR="00A77F5E" w:rsidRPr="000251E2" w:rsidRDefault="00A77F5E" w:rsidP="006A7C1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9EDB9" w14:textId="77777777" w:rsidR="00A77F5E" w:rsidRPr="000251E2" w:rsidRDefault="00A77F5E" w:rsidP="006A7C1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A1963F" w14:textId="77777777" w:rsidR="00A77F5E" w:rsidRDefault="00A77F5E" w:rsidP="006A7C1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0D9FAB" w14:textId="77777777" w:rsidR="00A77F5E" w:rsidRDefault="00A77F5E" w:rsidP="006A7C1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B3371D" w14:textId="77777777" w:rsidR="00A77F5E" w:rsidRDefault="00A77F5E" w:rsidP="006A7C1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564520" w14:textId="77777777" w:rsidR="00A77F5E" w:rsidRDefault="00A77F5E" w:rsidP="006A7C1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A6C48D" w14:textId="77777777" w:rsidR="00A77F5E" w:rsidRDefault="00A77F5E" w:rsidP="006A7C1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F2C96" w14:textId="77777777" w:rsidR="00A77F5E" w:rsidRDefault="00A77F5E" w:rsidP="006C068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E6EC1" w14:textId="77777777" w:rsidR="00A77F5E" w:rsidRPr="000251E2" w:rsidRDefault="00A77F5E" w:rsidP="006C0680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Pubmed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AA0B" w14:textId="56AEA29D" w:rsidR="00A77F5E" w:rsidRPr="000251E2" w:rsidRDefault="004C41A0" w:rsidP="006C0680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x</w:t>
            </w:r>
          </w:p>
        </w:tc>
      </w:tr>
      <w:tr w:rsidR="00A77F5E" w:rsidRPr="0093601A" w14:paraId="1013EF7B" w14:textId="77777777" w:rsidTr="00A77F5E">
        <w:tc>
          <w:tcPr>
            <w:tcW w:w="0" w:type="auto"/>
          </w:tcPr>
          <w:p w14:paraId="07AD6796" w14:textId="77777777" w:rsidR="00A77F5E" w:rsidRPr="000251E2" w:rsidRDefault="00A77F5E" w:rsidP="00587948">
            <w:pPr>
              <w:rPr>
                <w:rFonts w:asciiTheme="minorHAnsi" w:hAnsiTheme="minorHAnsi"/>
                <w:sz w:val="20"/>
                <w:szCs w:val="22"/>
              </w:rPr>
            </w:pPr>
            <w:r w:rsidRPr="000251E2">
              <w:rPr>
                <w:rFonts w:asciiTheme="minorHAnsi" w:hAnsiTheme="minorHAnsi"/>
                <w:sz w:val="20"/>
                <w:szCs w:val="22"/>
              </w:rPr>
              <w:t>Other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26BA6E8" w14:textId="77777777" w:rsidR="00A77F5E" w:rsidRPr="000251E2" w:rsidRDefault="00A77F5E" w:rsidP="006A7C1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EDBB7" w14:textId="77777777" w:rsidR="00A77F5E" w:rsidRPr="000251E2" w:rsidRDefault="00A77F5E" w:rsidP="006A7C1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6FAF41" w14:textId="77777777" w:rsidR="00A77F5E" w:rsidRDefault="00A77F5E" w:rsidP="006A7C1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A33E29" w14:textId="77777777" w:rsidR="00A77F5E" w:rsidRDefault="00A77F5E" w:rsidP="006A7C1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9473CD" w14:textId="77777777" w:rsidR="00A77F5E" w:rsidRDefault="00A77F5E" w:rsidP="006A7C1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2B4F32" w14:textId="77777777" w:rsidR="00A77F5E" w:rsidRDefault="00A77F5E" w:rsidP="006A7C1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8A1531" w14:textId="77777777" w:rsidR="00A77F5E" w:rsidRDefault="00A77F5E" w:rsidP="006A7C1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BE573" w14:textId="77777777" w:rsidR="00A77F5E" w:rsidRDefault="00A77F5E" w:rsidP="006C068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7E2EF0" w14:textId="77777777" w:rsidR="00A77F5E" w:rsidRPr="000251E2" w:rsidRDefault="00A77F5E" w:rsidP="006C0680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Uptodate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5EF" w14:textId="73C9852B" w:rsidR="00A77F5E" w:rsidRPr="000251E2" w:rsidRDefault="00845ED5" w:rsidP="006C0680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x</w:t>
            </w:r>
          </w:p>
        </w:tc>
      </w:tr>
    </w:tbl>
    <w:p w14:paraId="67D70CAF" w14:textId="77777777" w:rsidR="00224FF8" w:rsidRDefault="00224FF8" w:rsidP="00224FF8">
      <w:pPr>
        <w:shd w:val="clear" w:color="auto" w:fill="FFFFFF"/>
        <w:rPr>
          <w:rFonts w:asciiTheme="minorHAnsi" w:hAnsiTheme="minorHAnsi" w:cstheme="minorHAnsi"/>
          <w:sz w:val="20"/>
          <w:szCs w:val="20"/>
          <w:lang w:val="en-GB"/>
        </w:rPr>
      </w:pPr>
    </w:p>
    <w:p w14:paraId="400E8EF5" w14:textId="77777777" w:rsidR="00D818A7" w:rsidRPr="00224FF8" w:rsidRDefault="00D818A7" w:rsidP="00D818A7">
      <w:pPr>
        <w:shd w:val="clear" w:color="auto" w:fill="FFFFFF"/>
        <w:spacing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224FF8">
        <w:rPr>
          <w:rFonts w:asciiTheme="minorHAnsi" w:hAnsiTheme="minorHAnsi" w:cstheme="minorHAnsi"/>
          <w:sz w:val="20"/>
          <w:szCs w:val="20"/>
          <w:lang w:val="en-GB"/>
        </w:rPr>
        <w:t>Our overall rating of this evidence is</w:t>
      </w:r>
      <w:r w:rsidR="00224FF8" w:rsidRPr="00224FF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224FF8">
        <w:rPr>
          <w:rFonts w:asciiTheme="minorHAnsi" w:hAnsiTheme="minorHAnsi" w:cstheme="minorHAnsi"/>
          <w:noProof/>
          <w:sz w:val="20"/>
          <w:szCs w:val="20"/>
          <w:lang w:val="en-GB" w:eastAsia="en-GB"/>
        </w:rPr>
        <w:drawing>
          <wp:inline distT="0" distB="0" distL="0" distR="0" wp14:anchorId="7A8C15C9" wp14:editId="3995C6F3">
            <wp:extent cx="13995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7" cy="157537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</pic:spPr>
                </pic:pic>
              </a:graphicData>
            </a:graphic>
          </wp:inline>
        </w:drawing>
      </w:r>
      <w:r w:rsidR="00224FF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224FF8" w:rsidRPr="00224FF8">
        <w:rPr>
          <w:rFonts w:asciiTheme="minorHAnsi" w:hAnsiTheme="minorHAnsi" w:cstheme="minorHAnsi"/>
          <w:sz w:val="20"/>
          <w:szCs w:val="20"/>
          <w:lang w:val="en-GB"/>
        </w:rPr>
        <w:t xml:space="preserve">please </w:t>
      </w:r>
      <w:proofErr w:type="gramStart"/>
      <w:r w:rsidR="00224FF8" w:rsidRPr="00224FF8">
        <w:rPr>
          <w:rFonts w:asciiTheme="minorHAnsi" w:hAnsiTheme="minorHAnsi" w:cstheme="minorHAnsi"/>
          <w:sz w:val="20"/>
          <w:szCs w:val="20"/>
          <w:lang w:val="en-GB"/>
        </w:rPr>
        <w:t>use</w:t>
      </w:r>
      <w:proofErr w:type="gramEnd"/>
      <w:r w:rsidR="00224FF8" w:rsidRPr="00224FF8">
        <w:rPr>
          <w:rFonts w:asciiTheme="minorHAnsi" w:hAnsiTheme="minorHAnsi" w:cstheme="minorHAnsi"/>
          <w:sz w:val="20"/>
          <w:szCs w:val="20"/>
          <w:lang w:val="en-GB"/>
        </w:rPr>
        <w:t xml:space="preserve"> your own expertise to evaluate these results</w:t>
      </w:r>
      <w:r w:rsidR="00224FF8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098F30BD" w14:textId="77777777" w:rsidR="001120A7" w:rsidRDefault="001120A7" w:rsidP="001120A7">
      <w:pPr>
        <w:pBdr>
          <w:bottom w:val="single" w:sz="6" w:space="1" w:color="auto"/>
        </w:pBdr>
        <w:shd w:val="clear" w:color="auto" w:fill="FFFFFF"/>
        <w:spacing w:after="120"/>
        <w:rPr>
          <w:rFonts w:ascii="Helvetica" w:eastAsia="Calibri" w:hAnsi="Helvetica" w:cs="Helvetica"/>
          <w:color w:val="555555"/>
          <w:sz w:val="20"/>
          <w:szCs w:val="20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inline distT="0" distB="0" distL="0" distR="0" wp14:anchorId="2E7B2098" wp14:editId="449E3212">
            <wp:extent cx="221115" cy="2667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8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" w:eastAsia="Calibri" w:hAnsi="Helvetica" w:cs="Helvetica"/>
          <w:noProof/>
          <w:color w:val="555555"/>
          <w:sz w:val="20"/>
          <w:szCs w:val="20"/>
        </w:rPr>
        <w:t xml:space="preserve">  </w:t>
      </w:r>
      <w:r w:rsidRPr="000251E2">
        <w:rPr>
          <w:rFonts w:asciiTheme="minorHAnsi" w:eastAsia="Calibri" w:hAnsiTheme="minorHAnsi" w:cs="Helvetica"/>
          <w:noProof/>
          <w:color w:val="555555"/>
          <w:sz w:val="20"/>
          <w:szCs w:val="20"/>
        </w:rPr>
        <w:t xml:space="preserve">Evidence rating scale: </w:t>
      </w:r>
      <w:r w:rsidRPr="000251E2">
        <w:rPr>
          <w:rFonts w:asciiTheme="minorHAnsi" w:eastAsia="Calibri" w:hAnsiTheme="minorHAnsi" w:cs="Helvetica"/>
          <w:b/>
          <w:noProof/>
          <w:color w:val="00B050"/>
          <w:sz w:val="20"/>
          <w:szCs w:val="20"/>
        </w:rPr>
        <w:t>High Quality</w:t>
      </w:r>
      <w:r w:rsidRPr="000251E2">
        <w:rPr>
          <w:rFonts w:asciiTheme="minorHAnsi" w:eastAsia="Calibri" w:hAnsiTheme="minorHAnsi" w:cs="Helvetica"/>
          <w:noProof/>
          <w:color w:val="000000" w:themeColor="text1"/>
          <w:sz w:val="20"/>
          <w:szCs w:val="20"/>
        </w:rPr>
        <w:t>;</w:t>
      </w:r>
      <w:r w:rsidRPr="000251E2">
        <w:rPr>
          <w:rFonts w:asciiTheme="minorHAnsi" w:eastAsia="Calibri" w:hAnsiTheme="minorHAnsi" w:cs="Helvetica"/>
          <w:noProof/>
          <w:color w:val="555555"/>
          <w:sz w:val="20"/>
          <w:szCs w:val="20"/>
        </w:rPr>
        <w:t xml:space="preserve"> </w:t>
      </w:r>
      <w:r w:rsidRPr="000251E2">
        <w:rPr>
          <w:rFonts w:asciiTheme="minorHAnsi" w:eastAsia="Calibri" w:hAnsiTheme="minorHAnsi" w:cs="Helvetica"/>
          <w:b/>
          <w:noProof/>
          <w:color w:val="FFC000"/>
          <w:sz w:val="20"/>
          <w:szCs w:val="20"/>
        </w:rPr>
        <w:t>Medium Quality</w:t>
      </w:r>
      <w:r w:rsidRPr="000251E2">
        <w:rPr>
          <w:rFonts w:asciiTheme="minorHAnsi" w:eastAsia="Calibri" w:hAnsiTheme="minorHAnsi" w:cs="Helvetica"/>
          <w:noProof/>
          <w:color w:val="000000" w:themeColor="text1"/>
          <w:sz w:val="20"/>
          <w:szCs w:val="20"/>
        </w:rPr>
        <w:t>;</w:t>
      </w:r>
      <w:r w:rsidRPr="000251E2">
        <w:rPr>
          <w:rFonts w:asciiTheme="minorHAnsi" w:eastAsia="Calibri" w:hAnsiTheme="minorHAnsi" w:cs="Helvetica"/>
          <w:noProof/>
          <w:color w:val="555555"/>
          <w:sz w:val="20"/>
          <w:szCs w:val="20"/>
        </w:rPr>
        <w:t xml:space="preserve"> </w:t>
      </w:r>
      <w:r w:rsidRPr="000251E2">
        <w:rPr>
          <w:rFonts w:asciiTheme="minorHAnsi" w:eastAsia="Calibri" w:hAnsiTheme="minorHAnsi" w:cs="Helvetica"/>
          <w:b/>
          <w:noProof/>
          <w:color w:val="FF0000"/>
          <w:sz w:val="20"/>
          <w:szCs w:val="20"/>
        </w:rPr>
        <w:t>Lower Quality</w:t>
      </w:r>
      <w:r>
        <w:rPr>
          <w:rFonts w:ascii="Helvetica" w:eastAsia="Calibri" w:hAnsi="Helvetica" w:cs="Helvetica"/>
          <w:noProof/>
          <w:color w:val="555555"/>
          <w:sz w:val="20"/>
          <w:szCs w:val="20"/>
        </w:rPr>
        <w:t xml:space="preserve"> </w:t>
      </w:r>
    </w:p>
    <w:p w14:paraId="554D6D12" w14:textId="77777777" w:rsidR="008343BD" w:rsidRPr="000251E2" w:rsidRDefault="008343BD" w:rsidP="00264C46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165E1E0A" w14:textId="77777777" w:rsidR="0097234E" w:rsidRPr="000251E2" w:rsidRDefault="0097234E" w:rsidP="00264C46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0251E2">
        <w:rPr>
          <w:rFonts w:asciiTheme="minorHAnsi" w:hAnsiTheme="minorHAnsi" w:cstheme="minorHAnsi"/>
          <w:b/>
          <w:sz w:val="20"/>
          <w:szCs w:val="20"/>
          <w:lang w:val="en-GB"/>
        </w:rPr>
        <w:t>National Reports</w:t>
      </w:r>
      <w:r w:rsidR="00F61155" w:rsidRPr="000251E2">
        <w:rPr>
          <w:rFonts w:asciiTheme="minorHAnsi" w:hAnsiTheme="minorHAnsi" w:cstheme="minorHAnsi"/>
          <w:b/>
          <w:sz w:val="20"/>
          <w:szCs w:val="20"/>
          <w:lang w:val="en-GB"/>
        </w:rPr>
        <w:t>/Guidelines</w:t>
      </w:r>
    </w:p>
    <w:p w14:paraId="1568F785" w14:textId="31153826" w:rsidR="004E224E" w:rsidRPr="004E224E" w:rsidRDefault="00845ED5" w:rsidP="004E224E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1. </w:t>
      </w:r>
      <w:r w:rsidR="004E224E" w:rsidRPr="004E224E">
        <w:rPr>
          <w:rFonts w:asciiTheme="minorHAnsi" w:hAnsiTheme="minorHAnsi" w:cstheme="minorHAnsi"/>
          <w:sz w:val="20"/>
          <w:szCs w:val="20"/>
          <w:lang w:val="en-GB"/>
        </w:rPr>
        <w:t>AAAAI Mast Cell Disorders Committee work group report: mast cell activation syndrome (MCAS) diagnosis and management [PDF]</w:t>
      </w:r>
      <w:r w:rsidR="004E224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4E224E" w:rsidRPr="004E224E">
        <w:rPr>
          <w:rFonts w:asciiTheme="minorHAnsi" w:hAnsiTheme="minorHAnsi" w:cstheme="minorHAnsi"/>
          <w:sz w:val="20"/>
          <w:szCs w:val="20"/>
          <w:lang w:val="en-GB"/>
        </w:rPr>
        <w:t>26 September 2019: American Academy of Allergy, Asthma and Immunology</w:t>
      </w:r>
      <w:r w:rsidR="004E224E">
        <w:rPr>
          <w:rFonts w:asciiTheme="minorHAnsi" w:hAnsiTheme="minorHAnsi" w:cstheme="minorHAnsi"/>
          <w:sz w:val="20"/>
          <w:szCs w:val="20"/>
          <w:lang w:val="en-GB"/>
        </w:rPr>
        <w:t>. J</w:t>
      </w:r>
      <w:r w:rsidR="004E224E" w:rsidRPr="004E224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4E224E">
        <w:rPr>
          <w:rFonts w:asciiTheme="minorHAnsi" w:hAnsiTheme="minorHAnsi" w:cstheme="minorHAnsi"/>
          <w:sz w:val="20"/>
          <w:szCs w:val="20"/>
          <w:lang w:val="en-GB"/>
        </w:rPr>
        <w:t>A</w:t>
      </w:r>
      <w:r w:rsidR="004E224E" w:rsidRPr="004E224E">
        <w:rPr>
          <w:rFonts w:asciiTheme="minorHAnsi" w:hAnsiTheme="minorHAnsi" w:cstheme="minorHAnsi"/>
          <w:sz w:val="20"/>
          <w:szCs w:val="20"/>
          <w:lang w:val="en-GB"/>
        </w:rPr>
        <w:t xml:space="preserve">llergy </w:t>
      </w:r>
      <w:r w:rsidR="004E224E">
        <w:rPr>
          <w:rFonts w:asciiTheme="minorHAnsi" w:hAnsiTheme="minorHAnsi" w:cstheme="minorHAnsi"/>
          <w:sz w:val="20"/>
          <w:szCs w:val="20"/>
          <w:lang w:val="en-GB"/>
        </w:rPr>
        <w:t>C</w:t>
      </w:r>
      <w:r w:rsidR="004E224E" w:rsidRPr="004E224E">
        <w:rPr>
          <w:rFonts w:asciiTheme="minorHAnsi" w:hAnsiTheme="minorHAnsi" w:cstheme="minorHAnsi"/>
          <w:sz w:val="20"/>
          <w:szCs w:val="20"/>
          <w:lang w:val="en-GB"/>
        </w:rPr>
        <w:t>lin</w:t>
      </w:r>
      <w:r w:rsidR="004E224E">
        <w:rPr>
          <w:rFonts w:asciiTheme="minorHAnsi" w:hAnsiTheme="minorHAnsi" w:cstheme="minorHAnsi"/>
          <w:sz w:val="20"/>
          <w:szCs w:val="20"/>
          <w:lang w:val="en-GB"/>
        </w:rPr>
        <w:t>ical I</w:t>
      </w:r>
      <w:r w:rsidR="004E224E" w:rsidRPr="004E224E">
        <w:rPr>
          <w:rFonts w:asciiTheme="minorHAnsi" w:hAnsiTheme="minorHAnsi" w:cstheme="minorHAnsi"/>
          <w:sz w:val="20"/>
          <w:szCs w:val="20"/>
          <w:lang w:val="en-GB"/>
        </w:rPr>
        <w:t>mmunol</w:t>
      </w:r>
      <w:r w:rsidR="004E224E">
        <w:rPr>
          <w:rFonts w:asciiTheme="minorHAnsi" w:hAnsiTheme="minorHAnsi" w:cstheme="minorHAnsi"/>
          <w:sz w:val="20"/>
          <w:szCs w:val="20"/>
          <w:lang w:val="en-GB"/>
        </w:rPr>
        <w:t>ogy, O</w:t>
      </w:r>
      <w:r w:rsidR="004E224E" w:rsidRPr="004E224E">
        <w:rPr>
          <w:rFonts w:asciiTheme="minorHAnsi" w:hAnsiTheme="minorHAnsi" w:cstheme="minorHAnsi"/>
          <w:sz w:val="20"/>
          <w:szCs w:val="20"/>
          <w:lang w:val="en-GB"/>
        </w:rPr>
        <w:t>ctober 2019</w:t>
      </w:r>
    </w:p>
    <w:p w14:paraId="3C4D4D62" w14:textId="76EC536C" w:rsidR="004E224E" w:rsidRDefault="004E224E" w:rsidP="004E224E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4E224E">
        <w:rPr>
          <w:rFonts w:asciiTheme="minorHAnsi" w:hAnsiTheme="minorHAnsi" w:cstheme="minorHAnsi"/>
          <w:sz w:val="20"/>
          <w:szCs w:val="20"/>
          <w:lang w:val="en-GB"/>
        </w:rPr>
        <w:t>Our current recommendations for diagnosing and treating primary mast cell (MC) activation syndrome make use of the latest studies and consensus guidelines for clinically recognizing</w:t>
      </w:r>
    </w:p>
    <w:p w14:paraId="7C9E752D" w14:textId="77777777" w:rsidR="004E224E" w:rsidRDefault="004E224E" w:rsidP="00ED1A07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49D6CB68" w14:textId="43EA2DEA" w:rsidR="00CF40C8" w:rsidRDefault="00845ED5" w:rsidP="00ED1A07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2. </w:t>
      </w:r>
      <w:r w:rsidR="00ED1A07" w:rsidRPr="00ED1A07">
        <w:rPr>
          <w:rFonts w:asciiTheme="minorHAnsi" w:hAnsiTheme="minorHAnsi" w:cstheme="minorHAnsi"/>
          <w:sz w:val="20"/>
          <w:szCs w:val="20"/>
          <w:lang w:val="en-GB"/>
        </w:rPr>
        <w:t>Karin</w:t>
      </w:r>
      <w:r w:rsidR="00ED1A0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ED1A07" w:rsidRPr="00ED1A07">
        <w:rPr>
          <w:rFonts w:asciiTheme="minorHAnsi" w:hAnsiTheme="minorHAnsi" w:cstheme="minorHAnsi"/>
          <w:sz w:val="20"/>
          <w:szCs w:val="20"/>
          <w:lang w:val="en-GB"/>
        </w:rPr>
        <w:t>Hartmann</w:t>
      </w:r>
      <w:r w:rsidR="00ED1A07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ED1A07" w:rsidRPr="00ED1A07">
        <w:rPr>
          <w:rFonts w:asciiTheme="minorHAnsi" w:hAnsiTheme="minorHAnsi" w:cstheme="minorHAnsi"/>
          <w:sz w:val="20"/>
          <w:szCs w:val="20"/>
          <w:lang w:val="en-GB"/>
        </w:rPr>
        <w:t>Luis</w:t>
      </w:r>
      <w:r w:rsidR="00ED1A0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D1A07" w:rsidRPr="00ED1A07">
        <w:rPr>
          <w:rFonts w:asciiTheme="minorHAnsi" w:hAnsiTheme="minorHAnsi" w:cstheme="minorHAnsi"/>
          <w:sz w:val="20"/>
          <w:szCs w:val="20"/>
          <w:lang w:val="en-GB"/>
        </w:rPr>
        <w:t>Escribano</w:t>
      </w:r>
      <w:proofErr w:type="spellEnd"/>
      <w:r w:rsidR="00ED1A07" w:rsidRPr="00ED1A07">
        <w:rPr>
          <w:rFonts w:asciiTheme="minorHAnsi" w:hAnsiTheme="minorHAnsi" w:cstheme="minorHAnsi"/>
          <w:sz w:val="20"/>
          <w:szCs w:val="20"/>
          <w:lang w:val="en-GB"/>
        </w:rPr>
        <w:t>, Clive</w:t>
      </w:r>
      <w:r w:rsidR="00ED1A0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ED1A07" w:rsidRPr="00ED1A07">
        <w:rPr>
          <w:rFonts w:asciiTheme="minorHAnsi" w:hAnsiTheme="minorHAnsi" w:cstheme="minorHAnsi"/>
          <w:sz w:val="20"/>
          <w:szCs w:val="20"/>
          <w:lang w:val="en-GB"/>
        </w:rPr>
        <w:t>Grattan</w:t>
      </w:r>
      <w:r w:rsidR="00ED1A07">
        <w:rPr>
          <w:rFonts w:asciiTheme="minorHAnsi" w:hAnsiTheme="minorHAnsi" w:cstheme="minorHAnsi"/>
          <w:sz w:val="20"/>
          <w:szCs w:val="20"/>
          <w:lang w:val="en-GB"/>
        </w:rPr>
        <w:t xml:space="preserve"> et al. </w:t>
      </w:r>
      <w:r w:rsidR="00ED1A07" w:rsidRPr="00ED1A07">
        <w:rPr>
          <w:rFonts w:asciiTheme="minorHAnsi" w:hAnsiTheme="minorHAnsi" w:cstheme="minorHAnsi"/>
          <w:sz w:val="20"/>
          <w:szCs w:val="20"/>
          <w:lang w:val="en-GB"/>
        </w:rPr>
        <w:t>(2016)</w:t>
      </w:r>
      <w:r w:rsidR="00ED1A0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CF40C8" w:rsidRPr="00CF40C8">
        <w:rPr>
          <w:rFonts w:asciiTheme="minorHAnsi" w:hAnsiTheme="minorHAnsi" w:cstheme="minorHAnsi"/>
          <w:sz w:val="20"/>
          <w:szCs w:val="20"/>
          <w:lang w:val="en-GB"/>
        </w:rPr>
        <w:t xml:space="preserve">European Competence Network on </w:t>
      </w:r>
      <w:proofErr w:type="spellStart"/>
      <w:r w:rsidR="00CF40C8" w:rsidRPr="00CF40C8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="00CF40C8" w:rsidRPr="00CF40C8">
        <w:rPr>
          <w:rFonts w:asciiTheme="minorHAnsi" w:hAnsiTheme="minorHAnsi" w:cstheme="minorHAnsi"/>
          <w:sz w:val="20"/>
          <w:szCs w:val="20"/>
          <w:lang w:val="en-GB"/>
        </w:rPr>
        <w:t xml:space="preserve"> (ECNM); American Academy of Allergy, Asthma, and Immunology (AAAAI); and European Academy of </w:t>
      </w:r>
      <w:proofErr w:type="spellStart"/>
      <w:r w:rsidR="00CF40C8" w:rsidRPr="00CF40C8">
        <w:rPr>
          <w:rFonts w:asciiTheme="minorHAnsi" w:hAnsiTheme="minorHAnsi" w:cstheme="minorHAnsi"/>
          <w:sz w:val="20"/>
          <w:szCs w:val="20"/>
          <w:lang w:val="en-GB"/>
        </w:rPr>
        <w:t>Allergology</w:t>
      </w:r>
      <w:proofErr w:type="spellEnd"/>
      <w:r w:rsidR="00CF40C8" w:rsidRPr="00CF40C8">
        <w:rPr>
          <w:rFonts w:asciiTheme="minorHAnsi" w:hAnsiTheme="minorHAnsi" w:cstheme="minorHAnsi"/>
          <w:sz w:val="20"/>
          <w:szCs w:val="20"/>
          <w:lang w:val="en-GB"/>
        </w:rPr>
        <w:t xml:space="preserve"> and Clinical Immunology (EAACI): Cutaneous manifestations in patients with </w:t>
      </w:r>
      <w:proofErr w:type="spellStart"/>
      <w:r w:rsidR="00CF40C8" w:rsidRPr="00CF40C8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="00CF40C8" w:rsidRPr="00CF40C8">
        <w:rPr>
          <w:rFonts w:asciiTheme="minorHAnsi" w:hAnsiTheme="minorHAnsi" w:cstheme="minorHAnsi"/>
          <w:sz w:val="20"/>
          <w:szCs w:val="20"/>
          <w:lang w:val="en-GB"/>
        </w:rPr>
        <w:t xml:space="preserve"> – Consensus report</w:t>
      </w:r>
      <w:r w:rsidR="00ED1A07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CF40C8" w:rsidRPr="00CF40C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ED1A07" w:rsidRPr="00ED1A07">
        <w:rPr>
          <w:rFonts w:asciiTheme="minorHAnsi" w:hAnsiTheme="minorHAnsi" w:cstheme="minorHAnsi"/>
          <w:sz w:val="20"/>
          <w:szCs w:val="20"/>
          <w:lang w:val="en-GB"/>
        </w:rPr>
        <w:t>Journal of Allergy and Clinical Immunology</w:t>
      </w:r>
      <w:r w:rsidR="00ED1A0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ED1A07" w:rsidRPr="00ED1A07">
        <w:rPr>
          <w:rFonts w:asciiTheme="minorHAnsi" w:hAnsiTheme="minorHAnsi" w:cstheme="minorHAnsi"/>
          <w:sz w:val="20"/>
          <w:szCs w:val="20"/>
          <w:lang w:val="en-GB"/>
        </w:rPr>
        <w:t>Volume 137, Issue 1, January 2016, Pages 35-45</w:t>
      </w:r>
    </w:p>
    <w:p w14:paraId="1C743155" w14:textId="046C7D0E" w:rsidR="00ED1A07" w:rsidRDefault="00ED1A07" w:rsidP="00ED1A0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ED1A07">
        <w:rPr>
          <w:rFonts w:asciiTheme="minorHAnsi" w:hAnsiTheme="minorHAnsi" w:cstheme="minorHAnsi"/>
          <w:sz w:val="20"/>
          <w:szCs w:val="20"/>
          <w:lang w:val="en-GB"/>
        </w:rPr>
        <w:t xml:space="preserve">Cutaneous lesions in patients with </w:t>
      </w:r>
      <w:proofErr w:type="spellStart"/>
      <w:r w:rsidRPr="00ED1A07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Pr="00ED1A07">
        <w:rPr>
          <w:rFonts w:asciiTheme="minorHAnsi" w:hAnsiTheme="minorHAnsi" w:cstheme="minorHAnsi"/>
          <w:sz w:val="20"/>
          <w:szCs w:val="20"/>
          <w:lang w:val="en-GB"/>
        </w:rPr>
        <w:t xml:space="preserve"> are highly heterogeneous and encompass localized and disseminated forms. Although a classification and criteria for cutaneous </w:t>
      </w:r>
      <w:proofErr w:type="spellStart"/>
      <w:r w:rsidRPr="00ED1A07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Pr="00ED1A07">
        <w:rPr>
          <w:rFonts w:asciiTheme="minorHAnsi" w:hAnsiTheme="minorHAnsi" w:cstheme="minorHAnsi"/>
          <w:sz w:val="20"/>
          <w:szCs w:val="20"/>
          <w:lang w:val="en-GB"/>
        </w:rPr>
        <w:t xml:space="preserve"> (CM) have been proposed, there remains a need to better define sub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ED1A07">
        <w:rPr>
          <w:rFonts w:asciiTheme="minorHAnsi" w:hAnsiTheme="minorHAnsi" w:cstheme="minorHAnsi"/>
          <w:sz w:val="20"/>
          <w:szCs w:val="20"/>
          <w:lang w:val="en-GB"/>
        </w:rPr>
        <w:t xml:space="preserve">forms of cutaneous manifestations in patients with </w:t>
      </w:r>
      <w:proofErr w:type="spellStart"/>
      <w:r w:rsidRPr="00ED1A07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Pr="00ED1A07">
        <w:rPr>
          <w:rFonts w:asciiTheme="minorHAnsi" w:hAnsiTheme="minorHAnsi" w:cstheme="minorHAnsi"/>
          <w:sz w:val="20"/>
          <w:szCs w:val="20"/>
          <w:lang w:val="en-GB"/>
        </w:rPr>
        <w:t xml:space="preserve">. To address this unmet need, an international task </w:t>
      </w:r>
      <w:r>
        <w:rPr>
          <w:rFonts w:asciiTheme="minorHAnsi" w:hAnsiTheme="minorHAnsi" w:cstheme="minorHAnsi"/>
          <w:sz w:val="20"/>
          <w:szCs w:val="20"/>
          <w:lang w:val="en-GB"/>
        </w:rPr>
        <w:t>[…]</w:t>
      </w:r>
      <w:r w:rsidR="009678D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ED1A07">
        <w:rPr>
          <w:rFonts w:asciiTheme="minorHAnsi" w:hAnsiTheme="minorHAnsi" w:cstheme="minorHAnsi"/>
          <w:sz w:val="20"/>
          <w:szCs w:val="20"/>
          <w:lang w:val="en-GB"/>
        </w:rPr>
        <w:t xml:space="preserve">met several times between 2010 and 2014 to discuss the classification and criteria for diagnosis of cutaneous manifestations in patients with </w:t>
      </w:r>
      <w:proofErr w:type="spellStart"/>
      <w:r w:rsidRPr="00ED1A07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Pr="00ED1A07">
        <w:rPr>
          <w:rFonts w:asciiTheme="minorHAnsi" w:hAnsiTheme="minorHAnsi" w:cstheme="minorHAnsi"/>
          <w:sz w:val="20"/>
          <w:szCs w:val="20"/>
          <w:lang w:val="en-GB"/>
        </w:rPr>
        <w:t>. This article provides the major outcomes of these meetings and a proposal for a revised definition and criteria</w:t>
      </w:r>
      <w:r>
        <w:rPr>
          <w:rFonts w:asciiTheme="minorHAnsi" w:hAnsiTheme="minorHAnsi" w:cstheme="minorHAnsi"/>
          <w:sz w:val="20"/>
          <w:szCs w:val="20"/>
          <w:lang w:val="en-GB"/>
        </w:rPr>
        <w:t>…</w:t>
      </w:r>
    </w:p>
    <w:p w14:paraId="30955A21" w14:textId="77777777" w:rsidR="00ED1A07" w:rsidRDefault="00ED1A07" w:rsidP="00ED1A07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218199CC" w14:textId="61D9386E" w:rsidR="00025DAE" w:rsidRDefault="00845ED5" w:rsidP="00025DAE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3. </w:t>
      </w:r>
      <w:proofErr w:type="spellStart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>Ciach</w:t>
      </w:r>
      <w:proofErr w:type="spellEnd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 K, </w:t>
      </w:r>
      <w:proofErr w:type="spellStart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>Niedoszytko</w:t>
      </w:r>
      <w:proofErr w:type="spellEnd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 M, </w:t>
      </w:r>
      <w:proofErr w:type="spellStart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>Abacjew-Chmylko</w:t>
      </w:r>
      <w:proofErr w:type="spellEnd"/>
      <w:r w:rsidR="00025DA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A, </w:t>
      </w:r>
      <w:proofErr w:type="spellStart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>Pabin</w:t>
      </w:r>
      <w:proofErr w:type="spellEnd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 I, </w:t>
      </w:r>
      <w:proofErr w:type="spellStart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>Adamski</w:t>
      </w:r>
      <w:proofErr w:type="spellEnd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 P, </w:t>
      </w:r>
      <w:proofErr w:type="spellStart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>Leszczynska</w:t>
      </w:r>
      <w:proofErr w:type="spellEnd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 K, et al. (2016)</w:t>
      </w:r>
      <w:r w:rsidR="00025DA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Pregnancy and Delivery in Patients with </w:t>
      </w:r>
      <w:proofErr w:type="spellStart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="00025DA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Treated at the Polish </w:t>
      </w:r>
      <w:proofErr w:type="spellStart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>Center</w:t>
      </w:r>
      <w:proofErr w:type="spellEnd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 of the European</w:t>
      </w:r>
      <w:r w:rsidR="00025DA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Competence Network on </w:t>
      </w:r>
      <w:proofErr w:type="spellStart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 (ECNM).</w:t>
      </w:r>
      <w:r w:rsidR="00025DA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>PLoS</w:t>
      </w:r>
      <w:proofErr w:type="spellEnd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 ONE 11(1): e0146924. </w:t>
      </w:r>
      <w:proofErr w:type="gramStart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>doi:</w:t>
      </w:r>
      <w:proofErr w:type="gramEnd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>10.1371/journal.</w:t>
      </w:r>
      <w:r w:rsidR="00025DA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>pone.0146924</w:t>
      </w:r>
    </w:p>
    <w:p w14:paraId="0A736B40" w14:textId="77777777" w:rsidR="00025DAE" w:rsidRPr="00025DAE" w:rsidRDefault="00025DAE" w:rsidP="00025DAE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025DAE">
        <w:rPr>
          <w:rFonts w:asciiTheme="minorHAnsi" w:hAnsiTheme="minorHAnsi" w:cstheme="minorHAnsi"/>
          <w:sz w:val="20"/>
          <w:szCs w:val="20"/>
          <w:lang w:val="en-GB"/>
        </w:rPr>
        <w:t>Results</w:t>
      </w:r>
    </w:p>
    <w:p w14:paraId="03F5E9A6" w14:textId="3847E255" w:rsidR="00025DAE" w:rsidRDefault="00025DAE" w:rsidP="00025DAE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025DAE">
        <w:rPr>
          <w:rFonts w:asciiTheme="minorHAnsi" w:hAnsiTheme="minorHAnsi" w:cstheme="minorHAnsi"/>
          <w:sz w:val="20"/>
          <w:szCs w:val="20"/>
          <w:lang w:val="en-GB"/>
        </w:rPr>
        <w:t>All 23 pregnancies resulted from natural conception. Obstetrical complications recorded in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the first trimester included spontaneous miscarriage (5 pregnancies). Four patients delivered preterm, including </w:t>
      </w:r>
      <w:r w:rsidRPr="00025DAE">
        <w:rPr>
          <w:rFonts w:asciiTheme="minorHAnsi" w:hAnsiTheme="minorHAnsi" w:cstheme="minorHAnsi"/>
          <w:sz w:val="20"/>
          <w:szCs w:val="20"/>
          <w:lang w:val="en-GB"/>
        </w:rPr>
        <w:lastRenderedPageBreak/>
        <w:t>one delivery due to preeclampsia at 26 weeks which resulted with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neonate death due to extreme prematurity. Five women delivered via </w:t>
      </w:r>
      <w:proofErr w:type="spellStart"/>
      <w:r w:rsidRPr="00025DAE">
        <w:rPr>
          <w:rFonts w:asciiTheme="minorHAnsi" w:hAnsiTheme="minorHAnsi" w:cstheme="minorHAnsi"/>
          <w:sz w:val="20"/>
          <w:szCs w:val="20"/>
          <w:lang w:val="en-GB"/>
        </w:rPr>
        <w:t>cesarean</w:t>
      </w:r>
      <w:proofErr w:type="spellEnd"/>
      <w:r w:rsidRPr="00025DAE">
        <w:rPr>
          <w:rFonts w:asciiTheme="minorHAnsi" w:hAnsiTheme="minorHAnsi" w:cstheme="minorHAnsi"/>
          <w:sz w:val="20"/>
          <w:szCs w:val="20"/>
          <w:lang w:val="en-GB"/>
        </w:rPr>
        <w:t>: four due to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obstetrical indications and one due to </w:t>
      </w:r>
      <w:proofErr w:type="spellStart"/>
      <w:r w:rsidRPr="00025DAE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, during which no </w:t>
      </w:r>
      <w:proofErr w:type="spellStart"/>
      <w:r w:rsidRPr="00025DAE">
        <w:rPr>
          <w:rFonts w:asciiTheme="minorHAnsi" w:hAnsiTheme="minorHAnsi" w:cstheme="minorHAnsi"/>
          <w:sz w:val="20"/>
          <w:szCs w:val="20"/>
          <w:lang w:val="en-GB"/>
        </w:rPr>
        <w:t>anesthesia</w:t>
      </w:r>
      <w:proofErr w:type="spellEnd"/>
      <w:r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 related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complications were recorded. Of patients delivering vaginally, two received extradural </w:t>
      </w:r>
      <w:proofErr w:type="spellStart"/>
      <w:r w:rsidRPr="00025DAE">
        <w:rPr>
          <w:rFonts w:asciiTheme="minorHAnsi" w:hAnsiTheme="minorHAnsi" w:cstheme="minorHAnsi"/>
          <w:sz w:val="20"/>
          <w:szCs w:val="20"/>
          <w:lang w:val="en-GB"/>
        </w:rPr>
        <w:t>anesthesia</w:t>
      </w:r>
      <w:proofErr w:type="spellEnd"/>
      <w:r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, three required oxytocin infusion due to uterine </w:t>
      </w:r>
      <w:proofErr w:type="spellStart"/>
      <w:r w:rsidRPr="00025DAE">
        <w:rPr>
          <w:rFonts w:asciiTheme="minorHAnsi" w:hAnsiTheme="minorHAnsi" w:cstheme="minorHAnsi"/>
          <w:sz w:val="20"/>
          <w:szCs w:val="20"/>
          <w:lang w:val="en-GB"/>
        </w:rPr>
        <w:t>hypotonia</w:t>
      </w:r>
      <w:proofErr w:type="spellEnd"/>
      <w:r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. No </w:t>
      </w:r>
      <w:proofErr w:type="spellStart"/>
      <w:r w:rsidRPr="00025DAE">
        <w:rPr>
          <w:rFonts w:asciiTheme="minorHAnsi" w:hAnsiTheme="minorHAnsi" w:cstheme="minorHAnsi"/>
          <w:sz w:val="20"/>
          <w:szCs w:val="20"/>
          <w:lang w:val="en-GB"/>
        </w:rPr>
        <w:t>labor</w:t>
      </w:r>
      <w:proofErr w:type="spellEnd"/>
      <w:r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 complications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025DAE">
        <w:rPr>
          <w:rFonts w:asciiTheme="minorHAnsi" w:hAnsiTheme="minorHAnsi" w:cstheme="minorHAnsi"/>
          <w:sz w:val="20"/>
          <w:szCs w:val="20"/>
          <w:lang w:val="en-GB"/>
        </w:rPr>
        <w:t>were recorded. In one woman with pregnancy-induced hypertension, early puerperium was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025DAE">
        <w:rPr>
          <w:rFonts w:asciiTheme="minorHAnsi" w:hAnsiTheme="minorHAnsi" w:cstheme="minorHAnsi"/>
          <w:sz w:val="20"/>
          <w:szCs w:val="20"/>
          <w:lang w:val="en-GB"/>
        </w:rPr>
        <w:t>complicated by the presence of persistent arterial hypertension. One neonate was born with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the signs of cutaneous </w:t>
      </w:r>
      <w:proofErr w:type="spellStart"/>
      <w:r w:rsidRPr="00025DAE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en-GB"/>
        </w:rPr>
        <w:t>….</w:t>
      </w:r>
    </w:p>
    <w:p w14:paraId="43769BE8" w14:textId="77777777" w:rsidR="00025DAE" w:rsidRDefault="00025DAE" w:rsidP="00025DAE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49404876" w14:textId="6556CDDE" w:rsidR="00CF2A39" w:rsidRDefault="00845ED5" w:rsidP="00CF2A39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4. </w:t>
      </w:r>
      <w:r w:rsidR="00CF2A39" w:rsidRPr="00CF2A39">
        <w:rPr>
          <w:rFonts w:asciiTheme="minorHAnsi" w:hAnsiTheme="minorHAnsi" w:cstheme="minorHAnsi"/>
          <w:sz w:val="20"/>
          <w:szCs w:val="20"/>
          <w:lang w:val="en-GB"/>
        </w:rPr>
        <w:t>R. J. Powell, S. C. Leech,</w:t>
      </w:r>
      <w:r w:rsidR="00CF2A3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CF2A39" w:rsidRPr="00CF2A39">
        <w:rPr>
          <w:rFonts w:asciiTheme="minorHAnsi" w:hAnsiTheme="minorHAnsi" w:cstheme="minorHAnsi"/>
          <w:sz w:val="20"/>
          <w:szCs w:val="20"/>
          <w:lang w:val="en-GB"/>
        </w:rPr>
        <w:t>S. Till, P. A. J. Huber, S. M. Nasser and</w:t>
      </w:r>
      <w:r w:rsidR="00CF2A3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CF2A39" w:rsidRPr="00CF2A39">
        <w:rPr>
          <w:rFonts w:asciiTheme="minorHAnsi" w:hAnsiTheme="minorHAnsi" w:cstheme="minorHAnsi"/>
          <w:sz w:val="20"/>
          <w:szCs w:val="20"/>
          <w:lang w:val="en-GB"/>
        </w:rPr>
        <w:t>A. T. Clark</w:t>
      </w:r>
      <w:r w:rsidR="00CF2A39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CF2A39" w:rsidRPr="00CF2A3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 w:rsidR="00CF2A39" w:rsidRPr="00CF2A39">
        <w:rPr>
          <w:rFonts w:asciiTheme="minorHAnsi" w:hAnsiTheme="minorHAnsi" w:cstheme="minorHAnsi"/>
          <w:sz w:val="20"/>
          <w:szCs w:val="20"/>
          <w:lang w:val="en-GB"/>
        </w:rPr>
        <w:t xml:space="preserve">BSACI guideline for the management of chronic </w:t>
      </w:r>
      <w:proofErr w:type="spellStart"/>
      <w:r w:rsidR="00CF2A39" w:rsidRPr="00CF2A39">
        <w:rPr>
          <w:rFonts w:asciiTheme="minorHAnsi" w:hAnsiTheme="minorHAnsi" w:cstheme="minorHAnsi"/>
          <w:sz w:val="20"/>
          <w:szCs w:val="20"/>
          <w:lang w:val="en-GB"/>
        </w:rPr>
        <w:t>urticaria</w:t>
      </w:r>
      <w:proofErr w:type="spellEnd"/>
      <w:r w:rsidR="00CF2A39" w:rsidRPr="00CF2A39">
        <w:rPr>
          <w:rFonts w:asciiTheme="minorHAnsi" w:hAnsiTheme="minorHAnsi" w:cstheme="minorHAnsi"/>
          <w:sz w:val="20"/>
          <w:szCs w:val="20"/>
          <w:lang w:val="en-GB"/>
        </w:rPr>
        <w:t xml:space="preserve"> and </w:t>
      </w:r>
      <w:proofErr w:type="spellStart"/>
      <w:r w:rsidR="00CF2A39" w:rsidRPr="00CF2A39">
        <w:rPr>
          <w:rFonts w:asciiTheme="minorHAnsi" w:hAnsiTheme="minorHAnsi" w:cstheme="minorHAnsi"/>
          <w:sz w:val="20"/>
          <w:szCs w:val="20"/>
          <w:lang w:val="en-GB"/>
        </w:rPr>
        <w:t>angioedemaClinical</w:t>
      </w:r>
      <w:proofErr w:type="spellEnd"/>
      <w:r w:rsidR="00CF2A39" w:rsidRPr="00CF2A39">
        <w:rPr>
          <w:rFonts w:asciiTheme="minorHAnsi" w:hAnsiTheme="minorHAnsi" w:cstheme="minorHAnsi"/>
          <w:sz w:val="20"/>
          <w:szCs w:val="20"/>
          <w:lang w:val="en-GB"/>
        </w:rPr>
        <w:t xml:space="preserve"> &amp; Experimental</w:t>
      </w:r>
      <w:r w:rsidR="00CF2A3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CF2A39" w:rsidRPr="00CF2A39">
        <w:rPr>
          <w:rFonts w:asciiTheme="minorHAnsi" w:hAnsiTheme="minorHAnsi" w:cstheme="minorHAnsi"/>
          <w:sz w:val="20"/>
          <w:szCs w:val="20"/>
          <w:lang w:val="en-GB"/>
        </w:rPr>
        <w:t>Allergy, 2015(45)</w:t>
      </w:r>
      <w:r w:rsidR="004C41A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CF2A39" w:rsidRPr="00CF2A39">
        <w:rPr>
          <w:rFonts w:asciiTheme="minorHAnsi" w:hAnsiTheme="minorHAnsi" w:cstheme="minorHAnsi"/>
          <w:sz w:val="20"/>
          <w:szCs w:val="20"/>
          <w:lang w:val="en-GB"/>
        </w:rPr>
        <w:t>547–565.</w:t>
      </w:r>
      <w:proofErr w:type="gramEnd"/>
      <w:r w:rsidR="00CF2A39">
        <w:rPr>
          <w:rFonts w:asciiTheme="minorHAnsi" w:hAnsiTheme="minorHAnsi" w:cstheme="minorHAnsi"/>
          <w:sz w:val="20"/>
          <w:szCs w:val="20"/>
          <w:lang w:val="en-GB"/>
        </w:rPr>
        <w:t xml:space="preserve"> [NICE </w:t>
      </w:r>
      <w:proofErr w:type="spellStart"/>
      <w:r w:rsidR="00CF2A39">
        <w:rPr>
          <w:rFonts w:asciiTheme="minorHAnsi" w:hAnsiTheme="minorHAnsi" w:cstheme="minorHAnsi"/>
          <w:sz w:val="20"/>
          <w:szCs w:val="20"/>
          <w:lang w:val="en-GB"/>
        </w:rPr>
        <w:t>Acredited</w:t>
      </w:r>
      <w:proofErr w:type="spellEnd"/>
      <w:r w:rsidR="00CF2A39">
        <w:rPr>
          <w:rFonts w:asciiTheme="minorHAnsi" w:hAnsiTheme="minorHAnsi" w:cstheme="minorHAnsi"/>
          <w:sz w:val="20"/>
          <w:szCs w:val="20"/>
          <w:lang w:val="en-GB"/>
        </w:rPr>
        <w:t xml:space="preserve">] </w:t>
      </w:r>
    </w:p>
    <w:p w14:paraId="776E3A79" w14:textId="77777777" w:rsidR="00CF2A39" w:rsidRPr="00CF2A39" w:rsidRDefault="00CF2A39" w:rsidP="00CF2A39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CF2A39">
        <w:rPr>
          <w:rFonts w:asciiTheme="minorHAnsi" w:hAnsiTheme="minorHAnsi" w:cstheme="minorHAnsi"/>
          <w:sz w:val="20"/>
          <w:szCs w:val="20"/>
          <w:lang w:val="en-GB"/>
        </w:rPr>
        <w:t>Summary</w:t>
      </w:r>
    </w:p>
    <w:p w14:paraId="4228AC36" w14:textId="4074B36E" w:rsidR="00CF2A39" w:rsidRDefault="00CF2A39" w:rsidP="00CF2A39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CF2A39">
        <w:rPr>
          <w:rFonts w:asciiTheme="minorHAnsi" w:hAnsiTheme="minorHAnsi" w:cstheme="minorHAnsi"/>
          <w:sz w:val="20"/>
          <w:szCs w:val="20"/>
          <w:lang w:val="en-GB"/>
        </w:rPr>
        <w:t xml:space="preserve">This guidance for the management of patients with chronic </w:t>
      </w:r>
      <w:proofErr w:type="spellStart"/>
      <w:r w:rsidRPr="00CF2A39">
        <w:rPr>
          <w:rFonts w:asciiTheme="minorHAnsi" w:hAnsiTheme="minorHAnsi" w:cstheme="minorHAnsi"/>
          <w:sz w:val="20"/>
          <w:szCs w:val="20"/>
          <w:lang w:val="en-GB"/>
        </w:rPr>
        <w:t>urticaria</w:t>
      </w:r>
      <w:proofErr w:type="spellEnd"/>
      <w:r w:rsidRPr="00CF2A39">
        <w:rPr>
          <w:rFonts w:asciiTheme="minorHAnsi" w:hAnsiTheme="minorHAnsi" w:cstheme="minorHAnsi"/>
          <w:sz w:val="20"/>
          <w:szCs w:val="20"/>
          <w:lang w:val="en-GB"/>
        </w:rPr>
        <w:t xml:space="preserve"> and angioedema has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CF2A39">
        <w:rPr>
          <w:rFonts w:asciiTheme="minorHAnsi" w:hAnsiTheme="minorHAnsi" w:cstheme="minorHAnsi"/>
          <w:sz w:val="20"/>
          <w:szCs w:val="20"/>
          <w:lang w:val="en-GB"/>
        </w:rPr>
        <w:t>been prepared by the Standards of Care Committee of the British Society for Allergy and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CF2A39">
        <w:rPr>
          <w:rFonts w:asciiTheme="minorHAnsi" w:hAnsiTheme="minorHAnsi" w:cstheme="minorHAnsi"/>
          <w:sz w:val="20"/>
          <w:szCs w:val="20"/>
          <w:lang w:val="en-GB"/>
        </w:rPr>
        <w:t>Clinical Immunology (BSACI). The guideline is based on evidence as well as on expert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CF2A39">
        <w:rPr>
          <w:rFonts w:asciiTheme="minorHAnsi" w:hAnsiTheme="minorHAnsi" w:cstheme="minorHAnsi"/>
          <w:sz w:val="20"/>
          <w:szCs w:val="20"/>
          <w:lang w:val="en-GB"/>
        </w:rPr>
        <w:t>opinion and is aimed at both adult physicians and paediatricians practising in allergy.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CF2A39">
        <w:rPr>
          <w:rFonts w:asciiTheme="minorHAnsi" w:hAnsiTheme="minorHAnsi" w:cstheme="minorHAnsi"/>
          <w:sz w:val="20"/>
          <w:szCs w:val="20"/>
          <w:lang w:val="en-GB"/>
        </w:rPr>
        <w:t>The recommendations are evidence graded</w:t>
      </w:r>
      <w:r>
        <w:rPr>
          <w:rFonts w:asciiTheme="minorHAnsi" w:hAnsiTheme="minorHAnsi" w:cstheme="minorHAnsi"/>
          <w:sz w:val="20"/>
          <w:szCs w:val="20"/>
          <w:lang w:val="en-GB"/>
        </w:rPr>
        <w:t>…</w:t>
      </w:r>
    </w:p>
    <w:p w14:paraId="58145F59" w14:textId="77777777" w:rsidR="00CF2A39" w:rsidRDefault="00CF2A39" w:rsidP="00CF2A39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6BA05811" w14:textId="4E24ABCB" w:rsidR="00CF40C8" w:rsidRDefault="00845ED5" w:rsidP="00264C4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5. </w:t>
      </w:r>
      <w:r w:rsidR="009678D9" w:rsidRPr="009678D9">
        <w:rPr>
          <w:rFonts w:asciiTheme="minorHAnsi" w:hAnsiTheme="minorHAnsi" w:cstheme="minorHAnsi"/>
          <w:sz w:val="20"/>
          <w:szCs w:val="20"/>
          <w:lang w:val="en-GB"/>
        </w:rPr>
        <w:t xml:space="preserve">Valent P, </w:t>
      </w:r>
      <w:proofErr w:type="spellStart"/>
      <w:r w:rsidR="009678D9" w:rsidRPr="009678D9">
        <w:rPr>
          <w:rFonts w:asciiTheme="minorHAnsi" w:hAnsiTheme="minorHAnsi" w:cstheme="minorHAnsi"/>
          <w:sz w:val="20"/>
          <w:szCs w:val="20"/>
          <w:lang w:val="en-GB"/>
        </w:rPr>
        <w:t>Escribano</w:t>
      </w:r>
      <w:proofErr w:type="spellEnd"/>
      <w:r w:rsidR="009678D9" w:rsidRPr="009678D9">
        <w:rPr>
          <w:rFonts w:asciiTheme="minorHAnsi" w:hAnsiTheme="minorHAnsi" w:cstheme="minorHAnsi"/>
          <w:sz w:val="20"/>
          <w:szCs w:val="20"/>
          <w:lang w:val="en-GB"/>
        </w:rPr>
        <w:t xml:space="preserve"> L, </w:t>
      </w:r>
      <w:proofErr w:type="spellStart"/>
      <w:r w:rsidR="009678D9" w:rsidRPr="009678D9">
        <w:rPr>
          <w:rFonts w:asciiTheme="minorHAnsi" w:hAnsiTheme="minorHAnsi" w:cstheme="minorHAnsi"/>
          <w:sz w:val="20"/>
          <w:szCs w:val="20"/>
          <w:lang w:val="en-GB"/>
        </w:rPr>
        <w:t>Broesby</w:t>
      </w:r>
      <w:proofErr w:type="spellEnd"/>
      <w:r w:rsidR="009678D9" w:rsidRPr="009678D9">
        <w:rPr>
          <w:rFonts w:asciiTheme="minorHAnsi" w:hAnsiTheme="minorHAnsi" w:cstheme="minorHAnsi"/>
          <w:sz w:val="20"/>
          <w:szCs w:val="20"/>
          <w:lang w:val="en-GB"/>
        </w:rPr>
        <w:t>-Olsen S</w:t>
      </w:r>
      <w:r w:rsidR="004E224E">
        <w:rPr>
          <w:rFonts w:asciiTheme="minorHAnsi" w:hAnsiTheme="minorHAnsi" w:cstheme="minorHAnsi"/>
          <w:sz w:val="20"/>
          <w:szCs w:val="20"/>
          <w:lang w:val="en-GB"/>
        </w:rPr>
        <w:t>. et al (2014)</w:t>
      </w:r>
      <w:r w:rsidR="009678D9" w:rsidRPr="009678D9">
        <w:rPr>
          <w:rFonts w:asciiTheme="minorHAnsi" w:hAnsiTheme="minorHAnsi" w:cstheme="minorHAnsi"/>
          <w:sz w:val="20"/>
          <w:szCs w:val="20"/>
          <w:lang w:val="en-GB"/>
        </w:rPr>
        <w:t xml:space="preserve"> Proposed diagnostic algorithm for patients with suspected</w:t>
      </w:r>
      <w:r w:rsidR="009678D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9678D9" w:rsidRPr="009678D9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="009678D9" w:rsidRPr="009678D9">
        <w:rPr>
          <w:rFonts w:asciiTheme="minorHAnsi" w:hAnsiTheme="minorHAnsi" w:cstheme="minorHAnsi"/>
          <w:sz w:val="20"/>
          <w:szCs w:val="20"/>
          <w:lang w:val="en-GB"/>
        </w:rPr>
        <w:t xml:space="preserve">: a proposal of the European Competence Network on </w:t>
      </w:r>
      <w:proofErr w:type="spellStart"/>
      <w:r w:rsidR="009678D9" w:rsidRPr="009678D9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="009678D9" w:rsidRPr="009678D9">
        <w:rPr>
          <w:rFonts w:asciiTheme="minorHAnsi" w:hAnsiTheme="minorHAnsi" w:cstheme="minorHAnsi"/>
          <w:sz w:val="20"/>
          <w:szCs w:val="20"/>
          <w:lang w:val="en-GB"/>
        </w:rPr>
        <w:t>. Allergy 2014; 69: 1267–1274</w:t>
      </w:r>
      <w:r w:rsidR="009678D9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59D9A768" w14:textId="77777777" w:rsidR="009678D9" w:rsidRDefault="009678D9" w:rsidP="00264C46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9678D9">
        <w:rPr>
          <w:rFonts w:asciiTheme="minorHAnsi" w:hAnsiTheme="minorHAnsi" w:cstheme="minorHAnsi"/>
          <w:sz w:val="20"/>
          <w:szCs w:val="20"/>
          <w:lang w:val="en-GB"/>
        </w:rPr>
        <w:t>Abstract</w:t>
      </w:r>
    </w:p>
    <w:p w14:paraId="34EB22EE" w14:textId="0DF829E9" w:rsidR="009678D9" w:rsidRDefault="009678D9" w:rsidP="00264C46">
      <w:pPr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9678D9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Pr="009678D9">
        <w:rPr>
          <w:rFonts w:asciiTheme="minorHAnsi" w:hAnsiTheme="minorHAnsi" w:cstheme="minorHAnsi"/>
          <w:sz w:val="20"/>
          <w:szCs w:val="20"/>
          <w:lang w:val="en-GB"/>
        </w:rPr>
        <w:t xml:space="preserve"> is an emerging differential diagnosis in patients with more or less </w:t>
      </w:r>
      <w:proofErr w:type="spellStart"/>
      <w:r w:rsidRPr="009678D9">
        <w:rPr>
          <w:rFonts w:asciiTheme="minorHAnsi" w:hAnsiTheme="minorHAnsi" w:cstheme="minorHAnsi"/>
          <w:sz w:val="20"/>
          <w:szCs w:val="20"/>
          <w:lang w:val="en-GB"/>
        </w:rPr>
        <w:t>spe-ciﬁc</w:t>
      </w:r>
      <w:proofErr w:type="spellEnd"/>
      <w:r w:rsidRPr="009678D9">
        <w:rPr>
          <w:rFonts w:asciiTheme="minorHAnsi" w:hAnsiTheme="minorHAnsi" w:cstheme="minorHAnsi"/>
          <w:sz w:val="20"/>
          <w:szCs w:val="20"/>
          <w:lang w:val="en-GB"/>
        </w:rPr>
        <w:t xml:space="preserve"> mediator-related symptoms. In some of these patients, typical skin lesions </w:t>
      </w:r>
      <w:proofErr w:type="spellStart"/>
      <w:r w:rsidRPr="009678D9">
        <w:rPr>
          <w:rFonts w:asciiTheme="minorHAnsi" w:hAnsiTheme="minorHAnsi" w:cstheme="minorHAnsi"/>
          <w:sz w:val="20"/>
          <w:szCs w:val="20"/>
          <w:lang w:val="en-GB"/>
        </w:rPr>
        <w:t>arefound</w:t>
      </w:r>
      <w:proofErr w:type="spellEnd"/>
      <w:r w:rsidRPr="009678D9">
        <w:rPr>
          <w:rFonts w:asciiTheme="minorHAnsi" w:hAnsiTheme="minorHAnsi" w:cstheme="minorHAnsi"/>
          <w:sz w:val="20"/>
          <w:szCs w:val="20"/>
          <w:lang w:val="en-GB"/>
        </w:rPr>
        <w:t xml:space="preserve"> and the diagnosis of </w:t>
      </w:r>
      <w:proofErr w:type="spellStart"/>
      <w:r w:rsidRPr="009678D9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Pr="009678D9">
        <w:rPr>
          <w:rFonts w:asciiTheme="minorHAnsi" w:hAnsiTheme="minorHAnsi" w:cstheme="minorHAnsi"/>
          <w:sz w:val="20"/>
          <w:szCs w:val="20"/>
          <w:lang w:val="en-GB"/>
        </w:rPr>
        <w:t xml:space="preserve"> can be established.</w:t>
      </w:r>
    </w:p>
    <w:p w14:paraId="55CA8CA2" w14:textId="77777777" w:rsidR="009678D9" w:rsidRDefault="009678D9" w:rsidP="00264C46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2DFFA144" w14:textId="6FDF6508" w:rsidR="002576AA" w:rsidRDefault="00845ED5" w:rsidP="00264C4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6. </w:t>
      </w:r>
      <w:proofErr w:type="spellStart"/>
      <w:r w:rsidR="002576AA" w:rsidRPr="002576AA">
        <w:rPr>
          <w:rFonts w:asciiTheme="minorHAnsi" w:hAnsiTheme="minorHAnsi" w:cstheme="minorHAnsi"/>
          <w:sz w:val="20"/>
          <w:szCs w:val="20"/>
          <w:lang w:val="en-GB"/>
        </w:rPr>
        <w:t>Almudena</w:t>
      </w:r>
      <w:proofErr w:type="spellEnd"/>
      <w:r w:rsidR="002576AA" w:rsidRPr="002576A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2576AA" w:rsidRPr="002576AA">
        <w:rPr>
          <w:rFonts w:asciiTheme="minorHAnsi" w:hAnsiTheme="minorHAnsi" w:cstheme="minorHAnsi"/>
          <w:sz w:val="20"/>
          <w:szCs w:val="20"/>
          <w:lang w:val="en-GB"/>
        </w:rPr>
        <w:t>Matito</w:t>
      </w:r>
      <w:proofErr w:type="spellEnd"/>
      <w:r w:rsidR="002576AA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proofErr w:type="gramStart"/>
      <w:r w:rsidR="002576AA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proofErr w:type="spellStart"/>
      <w:r w:rsidR="002576AA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="002576AA">
        <w:rPr>
          <w:rFonts w:asciiTheme="minorHAnsi" w:hAnsiTheme="minorHAnsi" w:cstheme="minorHAnsi"/>
          <w:sz w:val="20"/>
          <w:szCs w:val="20"/>
          <w:lang w:val="en-GB"/>
        </w:rPr>
        <w:t xml:space="preserve"> Society.</w:t>
      </w:r>
      <w:proofErr w:type="gramEnd"/>
      <w:r w:rsidR="002576AA" w:rsidRPr="002576AA">
        <w:t xml:space="preserve"> </w:t>
      </w:r>
      <w:proofErr w:type="spellStart"/>
      <w:proofErr w:type="gramStart"/>
      <w:r w:rsidR="002576AA" w:rsidRPr="002576AA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="002576AA" w:rsidRPr="002576AA">
        <w:rPr>
          <w:rFonts w:asciiTheme="minorHAnsi" w:hAnsiTheme="minorHAnsi" w:cstheme="minorHAnsi"/>
          <w:sz w:val="20"/>
          <w:szCs w:val="20"/>
          <w:lang w:val="en-GB"/>
        </w:rPr>
        <w:t xml:space="preserve"> and Pregnancy</w:t>
      </w:r>
      <w:r w:rsidR="002576AA">
        <w:rPr>
          <w:rFonts w:asciiTheme="minorHAnsi" w:hAnsiTheme="minorHAnsi" w:cstheme="minorHAnsi"/>
          <w:sz w:val="20"/>
          <w:szCs w:val="20"/>
          <w:lang w:val="en-GB"/>
        </w:rPr>
        <w:t>.</w:t>
      </w:r>
      <w:proofErr w:type="gramEnd"/>
      <w:r w:rsidR="002576AA">
        <w:rPr>
          <w:rFonts w:asciiTheme="minorHAnsi" w:hAnsiTheme="minorHAnsi" w:cstheme="minorHAnsi"/>
          <w:sz w:val="20"/>
          <w:szCs w:val="20"/>
          <w:lang w:val="en-GB"/>
        </w:rPr>
        <w:t xml:space="preserve">  </w:t>
      </w:r>
      <w:hyperlink r:id="rId14" w:history="1">
        <w:r w:rsidR="002576AA" w:rsidRPr="004D6B14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https://tmsforacure.org/mastocytosis-and-pregnancy/</w:t>
        </w:r>
      </w:hyperlink>
    </w:p>
    <w:p w14:paraId="7CCACD1F" w14:textId="77777777" w:rsidR="002576AA" w:rsidRDefault="002576AA" w:rsidP="00264C46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78C2F9BF" w14:textId="77777777" w:rsidR="00722ED8" w:rsidRDefault="00722ED8" w:rsidP="00264C46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0251E2">
        <w:rPr>
          <w:rFonts w:asciiTheme="minorHAnsi" w:hAnsiTheme="minorHAnsi" w:cstheme="minorHAnsi"/>
          <w:b/>
          <w:sz w:val="20"/>
          <w:szCs w:val="20"/>
          <w:lang w:val="en-GB"/>
        </w:rPr>
        <w:t>Point of Care Resources</w:t>
      </w:r>
    </w:p>
    <w:p w14:paraId="45F82B56" w14:textId="6833DF63" w:rsidR="00025DAE" w:rsidRDefault="00845ED5" w:rsidP="00025DAE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7. </w:t>
      </w:r>
      <w:proofErr w:type="spellStart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>Cem</w:t>
      </w:r>
      <w:proofErr w:type="spellEnd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>Akin</w:t>
      </w:r>
      <w:r w:rsidR="00025DAE">
        <w:rPr>
          <w:rFonts w:asciiTheme="minorHAnsi" w:hAnsiTheme="minorHAnsi" w:cstheme="minorHAnsi"/>
          <w:sz w:val="20"/>
          <w:szCs w:val="20"/>
          <w:lang w:val="en-GB"/>
        </w:rPr>
        <w:t>(</w:t>
      </w:r>
      <w:proofErr w:type="gramEnd"/>
      <w:r w:rsidR="00025DAE">
        <w:rPr>
          <w:rFonts w:asciiTheme="minorHAnsi" w:hAnsiTheme="minorHAnsi" w:cstheme="minorHAnsi"/>
          <w:sz w:val="20"/>
          <w:szCs w:val="20"/>
          <w:lang w:val="en-GB"/>
        </w:rPr>
        <w:t xml:space="preserve">2020) </w:t>
      </w:r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Indolent and </w:t>
      </w:r>
      <w:proofErr w:type="spellStart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>smoldering</w:t>
      </w:r>
      <w:proofErr w:type="spellEnd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 xml:space="preserve"> systemic </w:t>
      </w:r>
      <w:proofErr w:type="spellStart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="00025DAE" w:rsidRPr="00025DAE">
        <w:rPr>
          <w:rFonts w:asciiTheme="minorHAnsi" w:hAnsiTheme="minorHAnsi" w:cstheme="minorHAnsi"/>
          <w:sz w:val="20"/>
          <w:szCs w:val="20"/>
          <w:lang w:val="en-GB"/>
        </w:rPr>
        <w:t>: Management and prognosis</w:t>
      </w:r>
      <w:r w:rsidR="00025DAE">
        <w:rPr>
          <w:rFonts w:asciiTheme="minorHAnsi" w:hAnsiTheme="minorHAnsi" w:cstheme="minorHAnsi"/>
          <w:sz w:val="20"/>
          <w:szCs w:val="20"/>
          <w:lang w:val="en-GB"/>
        </w:rPr>
        <w:t xml:space="preserve">. Uptodate </w:t>
      </w:r>
      <w:hyperlink r:id="rId15" w:history="1">
        <w:r w:rsidR="00025DAE" w:rsidRPr="004D6B14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https://www.uptodate.com/contents/indolent-and-smoldering-systemic-mastocytosis-management-and-prognosis</w:t>
        </w:r>
      </w:hyperlink>
    </w:p>
    <w:p w14:paraId="4B6C7FC2" w14:textId="77777777" w:rsidR="00025DAE" w:rsidRPr="00025DAE" w:rsidRDefault="00025DAE" w:rsidP="00025DAE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1DE30CF6" w14:textId="77777777" w:rsidR="00025DAE" w:rsidRDefault="00025DAE" w:rsidP="00264C46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6AF40A9F" w14:textId="290DBFFE" w:rsidR="006C0680" w:rsidRDefault="00845ED5" w:rsidP="00264C4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8. </w:t>
      </w:r>
      <w:r w:rsidR="00FD516F">
        <w:rPr>
          <w:rFonts w:asciiTheme="minorHAnsi" w:hAnsiTheme="minorHAnsi" w:cstheme="minorHAnsi"/>
          <w:sz w:val="20"/>
          <w:szCs w:val="20"/>
          <w:lang w:val="en-GB"/>
        </w:rPr>
        <w:t xml:space="preserve">BMJ Best Practice. </w:t>
      </w:r>
      <w:r w:rsidR="00FD516F" w:rsidRPr="00FD516F">
        <w:rPr>
          <w:rFonts w:asciiTheme="minorHAnsi" w:hAnsiTheme="minorHAnsi" w:cstheme="minorHAnsi"/>
          <w:sz w:val="20"/>
          <w:szCs w:val="20"/>
          <w:lang w:val="en-GB"/>
        </w:rPr>
        <w:t xml:space="preserve">Assessment of </w:t>
      </w:r>
      <w:r w:rsidR="00FD516F">
        <w:rPr>
          <w:rFonts w:asciiTheme="minorHAnsi" w:hAnsiTheme="minorHAnsi" w:cstheme="minorHAnsi"/>
          <w:sz w:val="20"/>
          <w:szCs w:val="20"/>
          <w:lang w:val="en-GB"/>
        </w:rPr>
        <w:t xml:space="preserve">urticarial: </w:t>
      </w:r>
      <w:proofErr w:type="spellStart"/>
      <w:r w:rsidR="00FD516F">
        <w:rPr>
          <w:rFonts w:asciiTheme="minorHAnsi" w:hAnsiTheme="minorHAnsi" w:cstheme="minorHAnsi"/>
          <w:sz w:val="20"/>
          <w:szCs w:val="20"/>
          <w:lang w:val="en-GB"/>
        </w:rPr>
        <w:t>Differencials</w:t>
      </w:r>
      <w:proofErr w:type="spellEnd"/>
      <w:r w:rsidR="00FD516F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r w:rsidR="00FD516F" w:rsidRPr="00FD516F">
        <w:rPr>
          <w:rFonts w:asciiTheme="minorHAnsi" w:hAnsiTheme="minorHAnsi" w:cstheme="minorHAnsi"/>
          <w:sz w:val="20"/>
          <w:szCs w:val="20"/>
          <w:lang w:val="en-GB"/>
        </w:rPr>
        <w:t>Uncommon</w:t>
      </w:r>
      <w:r w:rsidR="00FD516F">
        <w:rPr>
          <w:rFonts w:asciiTheme="minorHAnsi" w:hAnsiTheme="minorHAnsi" w:cstheme="minorHAnsi"/>
          <w:sz w:val="20"/>
          <w:szCs w:val="20"/>
          <w:lang w:val="en-GB"/>
        </w:rPr>
        <w:t xml:space="preserve">) </w:t>
      </w:r>
      <w:proofErr w:type="spellStart"/>
      <w:r w:rsidR="00FD516F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="00FD516F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hyperlink r:id="rId16" w:history="1">
        <w:r w:rsidR="00FD516F" w:rsidRPr="004D6B14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https://bestpractice.bmj.com/topics/en-gb/210/differentials</w:t>
        </w:r>
      </w:hyperlink>
    </w:p>
    <w:p w14:paraId="63C3D1A6" w14:textId="77777777" w:rsidR="00FD516F" w:rsidRPr="00FD516F" w:rsidRDefault="00FD516F" w:rsidP="00264C46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4F66A33C" w14:textId="77777777" w:rsidR="00264C46" w:rsidRPr="000251E2" w:rsidRDefault="00260114" w:rsidP="00264C46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0251E2">
        <w:rPr>
          <w:rFonts w:asciiTheme="minorHAnsi" w:hAnsiTheme="minorHAnsi" w:cstheme="minorHAnsi"/>
          <w:b/>
          <w:sz w:val="20"/>
          <w:szCs w:val="20"/>
          <w:lang w:val="en-GB"/>
        </w:rPr>
        <w:t>Published Research</w:t>
      </w:r>
    </w:p>
    <w:p w14:paraId="3829D9CB" w14:textId="43F8B54D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>28 Saved HDAS Results</w:t>
      </w:r>
    </w:p>
    <w:p w14:paraId="3895071B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>1. Significance of mast cells in spermatogenesis, implantation, pregnancy, and abortion: Cross talk and molecular mechanisms</w:t>
      </w:r>
    </w:p>
    <w:p w14:paraId="483E5FCA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>2. Mast cell activation syndrome in pregnancy, delivery, postpartum and lactation: a narrative review.</w:t>
      </w:r>
    </w:p>
    <w:p w14:paraId="1BED9F14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3. Acute inflammation in the uterine isthmus coincides with postpartum acute </w:t>
      </w:r>
      <w:proofErr w:type="spellStart"/>
      <w:r w:rsidRPr="00845ED5">
        <w:rPr>
          <w:rFonts w:asciiTheme="minorHAnsi" w:hAnsiTheme="minorHAnsi" w:cstheme="minorHAnsi"/>
          <w:sz w:val="20"/>
          <w:szCs w:val="20"/>
          <w:lang w:val="en-GB"/>
        </w:rPr>
        <w:t>myometritis</w:t>
      </w:r>
      <w:proofErr w:type="spellEnd"/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 in the uterine body involving refractory postpartum </w:t>
      </w:r>
      <w:proofErr w:type="spellStart"/>
      <w:r w:rsidRPr="00845ED5">
        <w:rPr>
          <w:rFonts w:asciiTheme="minorHAnsi" w:hAnsiTheme="minorHAnsi" w:cstheme="minorHAnsi"/>
          <w:sz w:val="20"/>
          <w:szCs w:val="20"/>
          <w:lang w:val="en-GB"/>
        </w:rPr>
        <w:t>hemorrhage</w:t>
      </w:r>
      <w:proofErr w:type="spellEnd"/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 of unknown </w:t>
      </w:r>
      <w:proofErr w:type="spellStart"/>
      <w:r w:rsidRPr="00845ED5">
        <w:rPr>
          <w:rFonts w:asciiTheme="minorHAnsi" w:hAnsiTheme="minorHAnsi" w:cstheme="minorHAnsi"/>
          <w:sz w:val="20"/>
          <w:szCs w:val="20"/>
          <w:lang w:val="en-GB"/>
        </w:rPr>
        <w:t>etiology</w:t>
      </w:r>
      <w:proofErr w:type="spellEnd"/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 after </w:t>
      </w:r>
      <w:proofErr w:type="spellStart"/>
      <w:r w:rsidRPr="00845ED5">
        <w:rPr>
          <w:rFonts w:asciiTheme="minorHAnsi" w:hAnsiTheme="minorHAnsi" w:cstheme="minorHAnsi"/>
          <w:sz w:val="20"/>
          <w:szCs w:val="20"/>
          <w:lang w:val="en-GB"/>
        </w:rPr>
        <w:t>cesarean</w:t>
      </w:r>
      <w:proofErr w:type="spellEnd"/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 delivery.</w:t>
      </w:r>
    </w:p>
    <w:p w14:paraId="05FC7BD0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4. Risk of comorbidities in patients diagnosed with chronic </w:t>
      </w:r>
      <w:proofErr w:type="spellStart"/>
      <w:r w:rsidRPr="00845ED5">
        <w:rPr>
          <w:rFonts w:asciiTheme="minorHAnsi" w:hAnsiTheme="minorHAnsi" w:cstheme="minorHAnsi"/>
          <w:sz w:val="20"/>
          <w:szCs w:val="20"/>
          <w:lang w:val="en-GB"/>
        </w:rPr>
        <w:t>urticaria</w:t>
      </w:r>
      <w:proofErr w:type="spellEnd"/>
      <w:r w:rsidRPr="00845ED5">
        <w:rPr>
          <w:rFonts w:asciiTheme="minorHAnsi" w:hAnsiTheme="minorHAnsi" w:cstheme="minorHAnsi"/>
          <w:sz w:val="20"/>
          <w:szCs w:val="20"/>
          <w:lang w:val="en-GB"/>
        </w:rPr>
        <w:t>: A nationwide registry-study</w:t>
      </w:r>
    </w:p>
    <w:p w14:paraId="4226A138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>5. Factors adversely influencing neurodevelopment.</w:t>
      </w:r>
    </w:p>
    <w:p w14:paraId="5F03C632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>6. Mast cell-induced immunopathology in recurrent pregnancy losses.</w:t>
      </w:r>
    </w:p>
    <w:p w14:paraId="2ED758BD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>7. Mast cell involvement in human cervical ripening.</w:t>
      </w:r>
    </w:p>
    <w:p w14:paraId="167405B5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>8. Successful mast-cell-targeted treatment of chronic dyspareunia, vaginitis, and dysfunctional uterine bleeding.</w:t>
      </w:r>
    </w:p>
    <w:p w14:paraId="7C0BA952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>9. Sex in Respiratory and Skin Allergies</w:t>
      </w:r>
    </w:p>
    <w:p w14:paraId="666BB44F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10. Management of </w:t>
      </w:r>
      <w:proofErr w:type="spellStart"/>
      <w:r w:rsidRPr="00845ED5">
        <w:rPr>
          <w:rFonts w:asciiTheme="minorHAnsi" w:hAnsiTheme="minorHAnsi" w:cstheme="minorHAnsi"/>
          <w:sz w:val="20"/>
          <w:szCs w:val="20"/>
          <w:lang w:val="en-GB"/>
        </w:rPr>
        <w:t>urticaria</w:t>
      </w:r>
      <w:proofErr w:type="spellEnd"/>
      <w:r w:rsidRPr="00845ED5">
        <w:rPr>
          <w:rFonts w:asciiTheme="minorHAnsi" w:hAnsiTheme="minorHAnsi" w:cstheme="minorHAnsi"/>
          <w:sz w:val="20"/>
          <w:szCs w:val="20"/>
          <w:lang w:val="en-GB"/>
        </w:rPr>
        <w:t>: Update of Iranian society of dermatology clinical practice guideline</w:t>
      </w:r>
    </w:p>
    <w:p w14:paraId="4CF12EEA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11. Management of a Parturient with Mast Cell Activation Syndrome: An </w:t>
      </w:r>
      <w:proofErr w:type="spellStart"/>
      <w:r w:rsidRPr="00845ED5">
        <w:rPr>
          <w:rFonts w:asciiTheme="minorHAnsi" w:hAnsiTheme="minorHAnsi" w:cstheme="minorHAnsi"/>
          <w:sz w:val="20"/>
          <w:szCs w:val="20"/>
          <w:lang w:val="en-GB"/>
        </w:rPr>
        <w:t>Anesthesiologist's</w:t>
      </w:r>
      <w:proofErr w:type="spellEnd"/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 Experience.</w:t>
      </w:r>
    </w:p>
    <w:p w14:paraId="5BA19648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lastRenderedPageBreak/>
        <w:t xml:space="preserve">12. Mimickers of </w:t>
      </w:r>
      <w:proofErr w:type="spellStart"/>
      <w:r w:rsidRPr="00845ED5">
        <w:rPr>
          <w:rFonts w:asciiTheme="minorHAnsi" w:hAnsiTheme="minorHAnsi" w:cstheme="minorHAnsi"/>
          <w:sz w:val="20"/>
          <w:szCs w:val="20"/>
          <w:lang w:val="en-GB"/>
        </w:rPr>
        <w:t>Urticaria</w:t>
      </w:r>
      <w:proofErr w:type="spellEnd"/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: Urticarial Vasculitis and </w:t>
      </w:r>
      <w:proofErr w:type="spellStart"/>
      <w:r w:rsidRPr="00845ED5">
        <w:rPr>
          <w:rFonts w:asciiTheme="minorHAnsi" w:hAnsiTheme="minorHAnsi" w:cstheme="minorHAnsi"/>
          <w:sz w:val="20"/>
          <w:szCs w:val="20"/>
          <w:lang w:val="en-GB"/>
        </w:rPr>
        <w:t>Autoinflammatory</w:t>
      </w:r>
      <w:proofErr w:type="spellEnd"/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 Diseases.</w:t>
      </w:r>
    </w:p>
    <w:p w14:paraId="610F28BD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>13. Innate immune cells in the placental bed in healthy pregnancy and preeclampsia.</w:t>
      </w:r>
    </w:p>
    <w:p w14:paraId="1D9AB9AC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>14. Mast cells: Novel role in the pathogenesis of recurrent pregnancy loss</w:t>
      </w:r>
    </w:p>
    <w:p w14:paraId="53D1BB3F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15. Management of </w:t>
      </w:r>
      <w:proofErr w:type="spellStart"/>
      <w:r w:rsidRPr="00845ED5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 in Pregnancy: A Review.</w:t>
      </w:r>
    </w:p>
    <w:p w14:paraId="30094FD5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16. Management around invasive procedures in </w:t>
      </w:r>
      <w:proofErr w:type="spellStart"/>
      <w:r w:rsidRPr="00845ED5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Pr="00845ED5">
        <w:rPr>
          <w:rFonts w:asciiTheme="minorHAnsi" w:hAnsiTheme="minorHAnsi" w:cstheme="minorHAnsi"/>
          <w:sz w:val="20"/>
          <w:szCs w:val="20"/>
          <w:lang w:val="en-GB"/>
        </w:rPr>
        <w:t>: An update</w:t>
      </w:r>
    </w:p>
    <w:p w14:paraId="70486017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17. Pregnancy and Delivery in Patients with </w:t>
      </w:r>
      <w:proofErr w:type="spellStart"/>
      <w:r w:rsidRPr="00845ED5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 Treated at the Polish </w:t>
      </w:r>
      <w:proofErr w:type="spellStart"/>
      <w:r w:rsidRPr="00845ED5">
        <w:rPr>
          <w:rFonts w:asciiTheme="minorHAnsi" w:hAnsiTheme="minorHAnsi" w:cstheme="minorHAnsi"/>
          <w:sz w:val="20"/>
          <w:szCs w:val="20"/>
          <w:lang w:val="en-GB"/>
        </w:rPr>
        <w:t>Center</w:t>
      </w:r>
      <w:proofErr w:type="spellEnd"/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 of the European Competence Network on </w:t>
      </w:r>
      <w:proofErr w:type="spellStart"/>
      <w:r w:rsidRPr="00845ED5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 (ECNM).</w:t>
      </w:r>
    </w:p>
    <w:p w14:paraId="239B37A9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18. Advances in the understanding and clinical management of </w:t>
      </w:r>
      <w:proofErr w:type="spellStart"/>
      <w:r w:rsidRPr="00845ED5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 and clonal mast cell activation syndromes.</w:t>
      </w:r>
    </w:p>
    <w:p w14:paraId="14B3180D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19. Maternal asthma and placental mast cell expression depending on asthma severity, </w:t>
      </w:r>
      <w:proofErr w:type="spellStart"/>
      <w:r w:rsidRPr="00845ED5">
        <w:rPr>
          <w:rFonts w:asciiTheme="minorHAnsi" w:hAnsiTheme="minorHAnsi" w:cstheme="minorHAnsi"/>
          <w:sz w:val="20"/>
          <w:szCs w:val="20"/>
          <w:lang w:val="en-GB"/>
        </w:rPr>
        <w:t>fetal</w:t>
      </w:r>
      <w:proofErr w:type="spellEnd"/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 sex and presence of preeclampsia</w:t>
      </w:r>
    </w:p>
    <w:p w14:paraId="35AE7367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>20. H1-antihistamines for primary mast cell activation syndromes: a systematic review.</w:t>
      </w:r>
    </w:p>
    <w:p w14:paraId="008E179B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>21. Mast cell-mediated and associated disorders in pregnancy: a risky game with an uncertain outcome?</w:t>
      </w:r>
    </w:p>
    <w:p w14:paraId="662C38F9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22. </w:t>
      </w:r>
      <w:proofErr w:type="spellStart"/>
      <w:r w:rsidRPr="00845ED5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 - A rare disease complicating pregnancy</w:t>
      </w:r>
    </w:p>
    <w:p w14:paraId="499293FB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>23. Endocrine factors modulating immune responses in pregnancy</w:t>
      </w:r>
    </w:p>
    <w:p w14:paraId="1743DC3A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24. Immune cells in term and preterm </w:t>
      </w:r>
      <w:proofErr w:type="spellStart"/>
      <w:r w:rsidRPr="00845ED5">
        <w:rPr>
          <w:rFonts w:asciiTheme="minorHAnsi" w:hAnsiTheme="minorHAnsi" w:cstheme="minorHAnsi"/>
          <w:sz w:val="20"/>
          <w:szCs w:val="20"/>
          <w:lang w:val="en-GB"/>
        </w:rPr>
        <w:t>labor</w:t>
      </w:r>
      <w:proofErr w:type="spellEnd"/>
      <w:r w:rsidRPr="00845ED5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216460F5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>25. Management of a parturient with mast cell activation syndrome.</w:t>
      </w:r>
    </w:p>
    <w:p w14:paraId="22E86036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26. Systemic </w:t>
      </w:r>
      <w:proofErr w:type="spellStart"/>
      <w:r w:rsidRPr="00845ED5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 complicating pregnancy.</w:t>
      </w:r>
    </w:p>
    <w:p w14:paraId="47BFBCDA" w14:textId="77777777" w:rsidR="00845ED5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27. Clinical impact of pregnancy in </w:t>
      </w:r>
      <w:proofErr w:type="spellStart"/>
      <w:r w:rsidRPr="00845ED5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: a study of the Spanish Network on </w:t>
      </w:r>
      <w:proofErr w:type="spellStart"/>
      <w:r w:rsidRPr="00845ED5">
        <w:rPr>
          <w:rFonts w:asciiTheme="minorHAnsi" w:hAnsiTheme="minorHAnsi" w:cstheme="minorHAnsi"/>
          <w:sz w:val="20"/>
          <w:szCs w:val="20"/>
          <w:lang w:val="en-GB"/>
        </w:rPr>
        <w:t>Mastocytosis</w:t>
      </w:r>
      <w:proofErr w:type="spellEnd"/>
      <w:r w:rsidRPr="00845ED5">
        <w:rPr>
          <w:rFonts w:asciiTheme="minorHAnsi" w:hAnsiTheme="minorHAnsi" w:cstheme="minorHAnsi"/>
          <w:sz w:val="20"/>
          <w:szCs w:val="20"/>
          <w:lang w:val="en-GB"/>
        </w:rPr>
        <w:t xml:space="preserve"> (REMA) in 45 cases.</w:t>
      </w:r>
    </w:p>
    <w:p w14:paraId="2F910532" w14:textId="21BCCABE" w:rsidR="00F723D3" w:rsidRPr="00845ED5" w:rsidRDefault="00845ED5" w:rsidP="00845ED5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845ED5">
        <w:rPr>
          <w:rFonts w:asciiTheme="minorHAnsi" w:hAnsiTheme="minorHAnsi" w:cstheme="minorHAnsi"/>
          <w:sz w:val="20"/>
          <w:szCs w:val="20"/>
          <w:lang w:val="en-GB"/>
        </w:rPr>
        <w:t>28. The role of mast cells and their mediators in reproduction, pregnancy and labour.</w:t>
      </w:r>
    </w:p>
    <w:p w14:paraId="6981252E" w14:textId="77777777" w:rsidR="008343BD" w:rsidRPr="000251E2" w:rsidRDefault="008343BD" w:rsidP="00264C46">
      <w:pPr>
        <w:spacing w:line="276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1A7C43A2" w14:textId="77777777" w:rsidR="00264C46" w:rsidRPr="000251E2" w:rsidRDefault="00EC0A06" w:rsidP="00264C46">
      <w:pPr>
        <w:rPr>
          <w:rFonts w:asciiTheme="minorHAnsi" w:hAnsiTheme="minorHAnsi" w:cstheme="minorHAnsi"/>
          <w:sz w:val="20"/>
          <w:szCs w:val="20"/>
        </w:rPr>
      </w:pPr>
      <w:r w:rsidRPr="000251E2">
        <w:rPr>
          <w:rFonts w:asciiTheme="minorHAnsi" w:hAnsiTheme="minorHAnsi" w:cstheme="minorHAnsi"/>
          <w:sz w:val="20"/>
          <w:szCs w:val="20"/>
        </w:rPr>
        <w:t xml:space="preserve">Full text documents or links to full text have been provided where available. </w:t>
      </w:r>
      <w:r w:rsidR="00CB06E2" w:rsidRPr="000251E2">
        <w:rPr>
          <w:rFonts w:asciiTheme="minorHAnsi" w:hAnsiTheme="minorHAnsi" w:cstheme="minorHAnsi"/>
          <w:sz w:val="20"/>
          <w:szCs w:val="20"/>
        </w:rPr>
        <w:t>I</w:t>
      </w:r>
      <w:r w:rsidR="00590172" w:rsidRPr="000251E2">
        <w:rPr>
          <w:rFonts w:asciiTheme="minorHAnsi" w:hAnsiTheme="minorHAnsi" w:cstheme="minorHAnsi"/>
          <w:sz w:val="20"/>
          <w:szCs w:val="20"/>
        </w:rPr>
        <w:t xml:space="preserve">f you would like </w:t>
      </w:r>
      <w:r w:rsidRPr="000251E2">
        <w:rPr>
          <w:rFonts w:asciiTheme="minorHAnsi" w:hAnsiTheme="minorHAnsi" w:cstheme="minorHAnsi"/>
          <w:sz w:val="20"/>
          <w:szCs w:val="20"/>
        </w:rPr>
        <w:t>copies of</w:t>
      </w:r>
      <w:r w:rsidR="00590172" w:rsidRPr="000251E2">
        <w:rPr>
          <w:rFonts w:asciiTheme="minorHAnsi" w:hAnsiTheme="minorHAnsi" w:cstheme="minorHAnsi"/>
          <w:sz w:val="20"/>
          <w:szCs w:val="20"/>
        </w:rPr>
        <w:t xml:space="preserve"> any of the</w:t>
      </w:r>
      <w:r w:rsidR="00CB06E2" w:rsidRPr="000251E2">
        <w:rPr>
          <w:rFonts w:asciiTheme="minorHAnsi" w:hAnsiTheme="minorHAnsi" w:cstheme="minorHAnsi"/>
          <w:sz w:val="20"/>
          <w:szCs w:val="20"/>
        </w:rPr>
        <w:t xml:space="preserve"> HDAS </w:t>
      </w:r>
      <w:r w:rsidR="00264C46" w:rsidRPr="000251E2">
        <w:rPr>
          <w:rFonts w:asciiTheme="minorHAnsi" w:hAnsiTheme="minorHAnsi" w:cstheme="minorHAnsi"/>
          <w:sz w:val="20"/>
          <w:szCs w:val="20"/>
        </w:rPr>
        <w:t>articles</w:t>
      </w:r>
      <w:r w:rsidR="00722ED8" w:rsidRPr="000251E2">
        <w:rPr>
          <w:rFonts w:asciiTheme="minorHAnsi" w:hAnsiTheme="minorHAnsi" w:cstheme="minorHAnsi"/>
          <w:sz w:val="20"/>
          <w:szCs w:val="20"/>
        </w:rPr>
        <w:t xml:space="preserve"> listed above</w:t>
      </w:r>
      <w:r w:rsidR="00264C46" w:rsidRPr="000251E2">
        <w:rPr>
          <w:rFonts w:asciiTheme="minorHAnsi" w:hAnsiTheme="minorHAnsi" w:cstheme="minorHAnsi"/>
          <w:sz w:val="20"/>
          <w:szCs w:val="20"/>
        </w:rPr>
        <w:t xml:space="preserve">, please </w:t>
      </w:r>
      <w:r w:rsidR="00B25B05" w:rsidRPr="000251E2">
        <w:rPr>
          <w:rFonts w:asciiTheme="minorHAnsi" w:hAnsiTheme="minorHAnsi" w:cstheme="minorHAnsi"/>
          <w:sz w:val="20"/>
          <w:szCs w:val="20"/>
        </w:rPr>
        <w:t xml:space="preserve">email </w:t>
      </w:r>
      <w:hyperlink r:id="rId17" w:history="1">
        <w:r w:rsidR="00B25B05" w:rsidRPr="000251E2">
          <w:rPr>
            <w:rStyle w:val="Hyperlink"/>
            <w:rFonts w:asciiTheme="minorHAnsi" w:hAnsiTheme="minorHAnsi" w:cstheme="minorHAnsi"/>
            <w:sz w:val="20"/>
            <w:szCs w:val="20"/>
          </w:rPr>
          <w:t>library@boltonft.nhs.uk</w:t>
        </w:r>
      </w:hyperlink>
      <w:r w:rsidR="00B25B05" w:rsidRPr="000251E2">
        <w:rPr>
          <w:rFonts w:asciiTheme="minorHAnsi" w:hAnsiTheme="minorHAnsi" w:cstheme="minorHAnsi"/>
          <w:sz w:val="20"/>
          <w:szCs w:val="20"/>
        </w:rPr>
        <w:t xml:space="preserve"> or </w:t>
      </w:r>
      <w:r w:rsidR="00590172" w:rsidRPr="000251E2">
        <w:rPr>
          <w:rFonts w:asciiTheme="minorHAnsi" w:hAnsiTheme="minorHAnsi" w:cstheme="minorHAnsi"/>
          <w:sz w:val="20"/>
          <w:szCs w:val="20"/>
        </w:rPr>
        <w:t>use</w:t>
      </w:r>
      <w:r w:rsidR="00264C46" w:rsidRPr="000251E2">
        <w:rPr>
          <w:rFonts w:asciiTheme="minorHAnsi" w:hAnsiTheme="minorHAnsi" w:cstheme="minorHAnsi"/>
          <w:sz w:val="20"/>
          <w:szCs w:val="20"/>
        </w:rPr>
        <w:t xml:space="preserve"> the </w:t>
      </w:r>
      <w:hyperlink r:id="rId18" w:history="1">
        <w:r w:rsidR="00264C46" w:rsidRPr="000251E2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journal </w:t>
        </w:r>
        <w:r w:rsidR="00590172" w:rsidRPr="000251E2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article </w:t>
        </w:r>
        <w:r w:rsidR="00264C46" w:rsidRPr="000251E2">
          <w:rPr>
            <w:rStyle w:val="Hyperlink"/>
            <w:rFonts w:asciiTheme="minorHAnsi" w:hAnsiTheme="minorHAnsi" w:cstheme="minorHAnsi"/>
            <w:sz w:val="20"/>
            <w:szCs w:val="20"/>
          </w:rPr>
          <w:t>request form</w:t>
        </w:r>
      </w:hyperlink>
      <w:r w:rsidR="00264C46" w:rsidRPr="000251E2">
        <w:rPr>
          <w:rFonts w:asciiTheme="minorHAnsi" w:hAnsiTheme="minorHAnsi" w:cstheme="minorHAnsi"/>
          <w:sz w:val="20"/>
          <w:szCs w:val="20"/>
        </w:rPr>
        <w:t>.</w:t>
      </w:r>
      <w:r w:rsidR="00694308" w:rsidRPr="000251E2">
        <w:rPr>
          <w:rFonts w:asciiTheme="minorHAnsi" w:hAnsiTheme="minorHAnsi" w:cstheme="minorHAnsi"/>
          <w:sz w:val="20"/>
          <w:szCs w:val="20"/>
        </w:rPr>
        <w:t xml:space="preserve"> See HDAS report for abstracts.</w:t>
      </w:r>
    </w:p>
    <w:p w14:paraId="2C3B633D" w14:textId="77777777" w:rsidR="00D23A91" w:rsidRPr="00845ED5" w:rsidRDefault="00D23A91" w:rsidP="00264C46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E1265C8" w14:textId="77777777" w:rsidR="00845ED5" w:rsidRPr="00845ED5" w:rsidRDefault="00845ED5" w:rsidP="00845ED5">
      <w:pPr>
        <w:rPr>
          <w:rFonts w:asciiTheme="minorHAnsi" w:hAnsiTheme="minorHAnsi"/>
          <w:b/>
          <w:sz w:val="22"/>
          <w:szCs w:val="22"/>
        </w:rPr>
      </w:pPr>
      <w:bookmarkStart w:id="1" w:name="historyanchor"/>
      <w:r w:rsidRPr="00845ED5">
        <w:rPr>
          <w:rFonts w:asciiTheme="minorHAnsi" w:hAnsiTheme="minorHAnsi" w:cs="Arial"/>
          <w:b/>
          <w:sz w:val="22"/>
          <w:szCs w:val="22"/>
        </w:rPr>
        <w:t>Strategy 833728</w:t>
      </w:r>
      <w:bookmarkEnd w:id="1"/>
    </w:p>
    <w:tbl>
      <w:tblPr>
        <w:tblW w:w="93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740"/>
        <w:gridCol w:w="4975"/>
        <w:gridCol w:w="2062"/>
      </w:tblGrid>
      <w:tr w:rsidR="00845ED5" w:rsidRPr="00845ED5" w14:paraId="15F5BE92" w14:textId="77777777" w:rsidTr="00845ED5">
        <w:trPr>
          <w:trHeight w:val="591"/>
        </w:trPr>
        <w:tc>
          <w:tcPr>
            <w:tcW w:w="538" w:type="dxa"/>
            <w:hideMark/>
          </w:tcPr>
          <w:p w14:paraId="22D79CAC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b/>
                <w:sz w:val="22"/>
                <w:szCs w:val="22"/>
              </w:rPr>
              <w:t>#</w:t>
            </w:r>
          </w:p>
        </w:tc>
        <w:tc>
          <w:tcPr>
            <w:tcW w:w="1740" w:type="dxa"/>
            <w:hideMark/>
          </w:tcPr>
          <w:p w14:paraId="44A2456E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b/>
                <w:sz w:val="22"/>
                <w:szCs w:val="22"/>
              </w:rPr>
              <w:t>Database</w:t>
            </w:r>
          </w:p>
        </w:tc>
        <w:tc>
          <w:tcPr>
            <w:tcW w:w="4975" w:type="dxa"/>
            <w:hideMark/>
          </w:tcPr>
          <w:p w14:paraId="204E69B9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b/>
                <w:sz w:val="22"/>
                <w:szCs w:val="22"/>
              </w:rPr>
              <w:t>Search term</w:t>
            </w:r>
          </w:p>
        </w:tc>
        <w:tc>
          <w:tcPr>
            <w:tcW w:w="2062" w:type="dxa"/>
            <w:hideMark/>
          </w:tcPr>
          <w:p w14:paraId="7B3AB319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b/>
                <w:sz w:val="22"/>
                <w:szCs w:val="22"/>
              </w:rPr>
              <w:t>Results</w:t>
            </w:r>
          </w:p>
        </w:tc>
      </w:tr>
      <w:tr w:rsidR="00845ED5" w:rsidRPr="00845ED5" w14:paraId="5CFB3739" w14:textId="77777777" w:rsidTr="00845ED5">
        <w:trPr>
          <w:trHeight w:val="624"/>
        </w:trPr>
        <w:tc>
          <w:tcPr>
            <w:tcW w:w="538" w:type="dxa"/>
            <w:hideMark/>
          </w:tcPr>
          <w:p w14:paraId="0F9C9D84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740" w:type="dxa"/>
            <w:hideMark/>
          </w:tcPr>
          <w:p w14:paraId="06538675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Medline</w:t>
            </w:r>
          </w:p>
        </w:tc>
        <w:tc>
          <w:tcPr>
            <w:tcW w:w="4975" w:type="dxa"/>
            <w:hideMark/>
          </w:tcPr>
          <w:p w14:paraId="4D59DE24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(Mast cell activation AND (</w:t>
            </w:r>
            <w:proofErr w:type="spellStart"/>
            <w:r w:rsidRPr="00845ED5">
              <w:rPr>
                <w:rFonts w:asciiTheme="minorHAnsi" w:hAnsiTheme="minorHAnsi" w:cs="Arial"/>
                <w:sz w:val="22"/>
                <w:szCs w:val="22"/>
              </w:rPr>
              <w:t>pregnan</w:t>
            </w:r>
            <w:proofErr w:type="spellEnd"/>
            <w:r w:rsidRPr="00845ED5">
              <w:rPr>
                <w:rFonts w:asciiTheme="minorHAnsi" w:hAnsiTheme="minorHAnsi" w:cs="Arial"/>
                <w:sz w:val="22"/>
                <w:szCs w:val="22"/>
              </w:rPr>
              <w:t>* OR birth OR gravid OR antepartum OR postpartum)).</w:t>
            </w:r>
            <w:proofErr w:type="spellStart"/>
            <w:r w:rsidRPr="00845ED5">
              <w:rPr>
                <w:rFonts w:asciiTheme="minorHAnsi" w:hAnsiTheme="minorHAnsi" w:cs="Arial"/>
                <w:sz w:val="22"/>
                <w:szCs w:val="22"/>
              </w:rPr>
              <w:t>ti,ab</w:t>
            </w:r>
            <w:proofErr w:type="spellEnd"/>
          </w:p>
        </w:tc>
        <w:tc>
          <w:tcPr>
            <w:tcW w:w="2062" w:type="dxa"/>
            <w:hideMark/>
          </w:tcPr>
          <w:p w14:paraId="0BABE84B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845ED5" w:rsidRPr="00845ED5" w14:paraId="4E581A25" w14:textId="77777777" w:rsidTr="00845ED5">
        <w:trPr>
          <w:trHeight w:val="624"/>
        </w:trPr>
        <w:tc>
          <w:tcPr>
            <w:tcW w:w="538" w:type="dxa"/>
            <w:hideMark/>
          </w:tcPr>
          <w:p w14:paraId="2C826578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740" w:type="dxa"/>
            <w:hideMark/>
          </w:tcPr>
          <w:p w14:paraId="217B6551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Medline</w:t>
            </w:r>
          </w:p>
        </w:tc>
        <w:tc>
          <w:tcPr>
            <w:tcW w:w="4975" w:type="dxa"/>
            <w:hideMark/>
          </w:tcPr>
          <w:p w14:paraId="15EA9B29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("Mast cell activation").</w:t>
            </w:r>
            <w:proofErr w:type="spellStart"/>
            <w:r w:rsidRPr="00845ED5">
              <w:rPr>
                <w:rFonts w:asciiTheme="minorHAnsi" w:hAnsiTheme="minorHAnsi" w:cs="Arial"/>
                <w:sz w:val="22"/>
                <w:szCs w:val="22"/>
              </w:rPr>
              <w:t>ti,ab</w:t>
            </w:r>
            <w:proofErr w:type="spellEnd"/>
          </w:p>
        </w:tc>
        <w:tc>
          <w:tcPr>
            <w:tcW w:w="2062" w:type="dxa"/>
            <w:hideMark/>
          </w:tcPr>
          <w:p w14:paraId="644F395A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2486</w:t>
            </w:r>
          </w:p>
        </w:tc>
      </w:tr>
      <w:tr w:rsidR="00845ED5" w:rsidRPr="00845ED5" w14:paraId="535A3597" w14:textId="77777777" w:rsidTr="00845ED5">
        <w:trPr>
          <w:trHeight w:val="624"/>
        </w:trPr>
        <w:tc>
          <w:tcPr>
            <w:tcW w:w="538" w:type="dxa"/>
            <w:hideMark/>
          </w:tcPr>
          <w:p w14:paraId="24EFDF3A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740" w:type="dxa"/>
            <w:hideMark/>
          </w:tcPr>
          <w:p w14:paraId="2153691F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Medline</w:t>
            </w:r>
          </w:p>
        </w:tc>
        <w:tc>
          <w:tcPr>
            <w:tcW w:w="4975" w:type="dxa"/>
            <w:hideMark/>
          </w:tcPr>
          <w:p w14:paraId="17F494D1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"PREGNANCY COMPLICATIONS"/ OR "PERINATAL DEATH"/</w:t>
            </w:r>
          </w:p>
        </w:tc>
        <w:tc>
          <w:tcPr>
            <w:tcW w:w="2062" w:type="dxa"/>
            <w:hideMark/>
          </w:tcPr>
          <w:p w14:paraId="1CFDE581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90904</w:t>
            </w:r>
          </w:p>
        </w:tc>
      </w:tr>
      <w:tr w:rsidR="00845ED5" w:rsidRPr="00845ED5" w14:paraId="3627DD3A" w14:textId="77777777" w:rsidTr="00845ED5">
        <w:trPr>
          <w:trHeight w:val="624"/>
        </w:trPr>
        <w:tc>
          <w:tcPr>
            <w:tcW w:w="538" w:type="dxa"/>
            <w:hideMark/>
          </w:tcPr>
          <w:p w14:paraId="46C6D6BE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740" w:type="dxa"/>
            <w:hideMark/>
          </w:tcPr>
          <w:p w14:paraId="55291EA6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Medline</w:t>
            </w:r>
          </w:p>
        </w:tc>
        <w:tc>
          <w:tcPr>
            <w:tcW w:w="4975" w:type="dxa"/>
            <w:hideMark/>
          </w:tcPr>
          <w:p w14:paraId="2589A82A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(2 AND 3)</w:t>
            </w:r>
          </w:p>
        </w:tc>
        <w:tc>
          <w:tcPr>
            <w:tcW w:w="2062" w:type="dxa"/>
            <w:hideMark/>
          </w:tcPr>
          <w:p w14:paraId="2D050F47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45ED5" w:rsidRPr="00845ED5" w14:paraId="45B5E215" w14:textId="77777777" w:rsidTr="00845ED5">
        <w:trPr>
          <w:trHeight w:val="624"/>
        </w:trPr>
        <w:tc>
          <w:tcPr>
            <w:tcW w:w="538" w:type="dxa"/>
            <w:hideMark/>
          </w:tcPr>
          <w:p w14:paraId="325ECA05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740" w:type="dxa"/>
            <w:hideMark/>
          </w:tcPr>
          <w:p w14:paraId="7978F462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Medline</w:t>
            </w:r>
          </w:p>
        </w:tc>
        <w:tc>
          <w:tcPr>
            <w:tcW w:w="4975" w:type="dxa"/>
            <w:hideMark/>
          </w:tcPr>
          <w:p w14:paraId="30445A40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"IMMUNE COMPLEX DISEASES"/ OR MASTOCYTOSIS/ OR "MASTOCYTOSIS, SYSTEMIC"/</w:t>
            </w:r>
          </w:p>
        </w:tc>
        <w:tc>
          <w:tcPr>
            <w:tcW w:w="2062" w:type="dxa"/>
            <w:hideMark/>
          </w:tcPr>
          <w:p w14:paraId="49470C76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5285</w:t>
            </w:r>
          </w:p>
        </w:tc>
      </w:tr>
      <w:tr w:rsidR="00845ED5" w:rsidRPr="00845ED5" w14:paraId="59502A7F" w14:textId="77777777" w:rsidTr="00845ED5">
        <w:trPr>
          <w:trHeight w:val="624"/>
        </w:trPr>
        <w:tc>
          <w:tcPr>
            <w:tcW w:w="538" w:type="dxa"/>
            <w:hideMark/>
          </w:tcPr>
          <w:p w14:paraId="6DAF29F3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740" w:type="dxa"/>
            <w:hideMark/>
          </w:tcPr>
          <w:p w14:paraId="73E945D0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Medline</w:t>
            </w:r>
          </w:p>
        </w:tc>
        <w:tc>
          <w:tcPr>
            <w:tcW w:w="4975" w:type="dxa"/>
            <w:hideMark/>
          </w:tcPr>
          <w:p w14:paraId="57282430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(3 AND 5)</w:t>
            </w:r>
          </w:p>
        </w:tc>
        <w:tc>
          <w:tcPr>
            <w:tcW w:w="2062" w:type="dxa"/>
            <w:hideMark/>
          </w:tcPr>
          <w:p w14:paraId="3A01275F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</w:tr>
      <w:tr w:rsidR="00845ED5" w:rsidRPr="00845ED5" w14:paraId="7FFCD702" w14:textId="77777777" w:rsidTr="00845ED5">
        <w:trPr>
          <w:trHeight w:val="624"/>
        </w:trPr>
        <w:tc>
          <w:tcPr>
            <w:tcW w:w="538" w:type="dxa"/>
            <w:hideMark/>
          </w:tcPr>
          <w:p w14:paraId="737B32CF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740" w:type="dxa"/>
            <w:hideMark/>
          </w:tcPr>
          <w:p w14:paraId="585925E2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CINAHL</w:t>
            </w:r>
          </w:p>
        </w:tc>
        <w:tc>
          <w:tcPr>
            <w:tcW w:w="4975" w:type="dxa"/>
            <w:hideMark/>
          </w:tcPr>
          <w:p w14:paraId="6F0F4483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"MAST CELLS"/</w:t>
            </w:r>
          </w:p>
        </w:tc>
        <w:tc>
          <w:tcPr>
            <w:tcW w:w="2062" w:type="dxa"/>
            <w:hideMark/>
          </w:tcPr>
          <w:p w14:paraId="37C447A2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1486</w:t>
            </w:r>
          </w:p>
        </w:tc>
      </w:tr>
      <w:tr w:rsidR="00845ED5" w:rsidRPr="00845ED5" w14:paraId="334461EA" w14:textId="77777777" w:rsidTr="00845ED5">
        <w:trPr>
          <w:trHeight w:val="624"/>
        </w:trPr>
        <w:tc>
          <w:tcPr>
            <w:tcW w:w="538" w:type="dxa"/>
            <w:hideMark/>
          </w:tcPr>
          <w:p w14:paraId="21D15AAB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740" w:type="dxa"/>
            <w:hideMark/>
          </w:tcPr>
          <w:p w14:paraId="77901E2C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CINAHL</w:t>
            </w:r>
          </w:p>
        </w:tc>
        <w:tc>
          <w:tcPr>
            <w:tcW w:w="4975" w:type="dxa"/>
            <w:hideMark/>
          </w:tcPr>
          <w:p w14:paraId="6EE265D5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PREGNANCY/ OR CHILDBIRTH/ OR "MATERNAL-FETAL EXCHANGE"/ OR FERTILITY/ OR "FETAL DEVELOPMENT"/</w:t>
            </w:r>
          </w:p>
        </w:tc>
        <w:tc>
          <w:tcPr>
            <w:tcW w:w="2062" w:type="dxa"/>
            <w:hideMark/>
          </w:tcPr>
          <w:p w14:paraId="7E699349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216688</w:t>
            </w:r>
          </w:p>
        </w:tc>
      </w:tr>
      <w:tr w:rsidR="00845ED5" w:rsidRPr="00845ED5" w14:paraId="19BF69EC" w14:textId="77777777" w:rsidTr="00845ED5">
        <w:trPr>
          <w:trHeight w:val="624"/>
        </w:trPr>
        <w:tc>
          <w:tcPr>
            <w:tcW w:w="538" w:type="dxa"/>
            <w:hideMark/>
          </w:tcPr>
          <w:p w14:paraId="616D145D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740" w:type="dxa"/>
            <w:hideMark/>
          </w:tcPr>
          <w:p w14:paraId="30B32321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CINAHL</w:t>
            </w:r>
          </w:p>
        </w:tc>
        <w:tc>
          <w:tcPr>
            <w:tcW w:w="4975" w:type="dxa"/>
            <w:hideMark/>
          </w:tcPr>
          <w:p w14:paraId="63577FAE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(7 AND 8)</w:t>
            </w:r>
          </w:p>
        </w:tc>
        <w:tc>
          <w:tcPr>
            <w:tcW w:w="2062" w:type="dxa"/>
            <w:hideMark/>
          </w:tcPr>
          <w:p w14:paraId="2ECA161F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</w:tr>
      <w:tr w:rsidR="00845ED5" w:rsidRPr="00845ED5" w14:paraId="0EEAF61B" w14:textId="77777777" w:rsidTr="00845ED5">
        <w:trPr>
          <w:trHeight w:val="624"/>
        </w:trPr>
        <w:tc>
          <w:tcPr>
            <w:tcW w:w="538" w:type="dxa"/>
            <w:hideMark/>
          </w:tcPr>
          <w:p w14:paraId="5F4F4139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740" w:type="dxa"/>
            <w:hideMark/>
          </w:tcPr>
          <w:p w14:paraId="7E861446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CINAHL</w:t>
            </w:r>
          </w:p>
        </w:tc>
        <w:tc>
          <w:tcPr>
            <w:tcW w:w="4975" w:type="dxa"/>
            <w:hideMark/>
          </w:tcPr>
          <w:p w14:paraId="78C4C932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"PREGNANCY COMPLICATIONS"/ OR "FEMALE UROGENITAL DISEASES AND PREGNANCY COMPLICATIONS"/</w:t>
            </w:r>
          </w:p>
        </w:tc>
        <w:tc>
          <w:tcPr>
            <w:tcW w:w="2062" w:type="dxa"/>
            <w:hideMark/>
          </w:tcPr>
          <w:p w14:paraId="30678876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18749</w:t>
            </w:r>
          </w:p>
        </w:tc>
      </w:tr>
      <w:tr w:rsidR="00845ED5" w:rsidRPr="00845ED5" w14:paraId="226A89E9" w14:textId="77777777" w:rsidTr="00845ED5">
        <w:trPr>
          <w:trHeight w:val="624"/>
        </w:trPr>
        <w:tc>
          <w:tcPr>
            <w:tcW w:w="538" w:type="dxa"/>
            <w:hideMark/>
          </w:tcPr>
          <w:p w14:paraId="66F0181D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740" w:type="dxa"/>
            <w:hideMark/>
          </w:tcPr>
          <w:p w14:paraId="23D9F41E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CINAHL</w:t>
            </w:r>
          </w:p>
        </w:tc>
        <w:tc>
          <w:tcPr>
            <w:tcW w:w="4975" w:type="dxa"/>
            <w:hideMark/>
          </w:tcPr>
          <w:p w14:paraId="7B76E5BB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(7 AND 10)</w:t>
            </w:r>
          </w:p>
        </w:tc>
        <w:tc>
          <w:tcPr>
            <w:tcW w:w="2062" w:type="dxa"/>
            <w:hideMark/>
          </w:tcPr>
          <w:p w14:paraId="1B58380A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845ED5" w:rsidRPr="00845ED5" w14:paraId="09146931" w14:textId="77777777" w:rsidTr="00845ED5">
        <w:trPr>
          <w:trHeight w:val="624"/>
        </w:trPr>
        <w:tc>
          <w:tcPr>
            <w:tcW w:w="538" w:type="dxa"/>
            <w:hideMark/>
          </w:tcPr>
          <w:p w14:paraId="6C3984E9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740" w:type="dxa"/>
            <w:hideMark/>
          </w:tcPr>
          <w:p w14:paraId="75ACD39B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EMBASE</w:t>
            </w:r>
          </w:p>
        </w:tc>
        <w:tc>
          <w:tcPr>
            <w:tcW w:w="4975" w:type="dxa"/>
            <w:hideMark/>
          </w:tcPr>
          <w:p w14:paraId="023ECFFB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"MAST CELL"/</w:t>
            </w:r>
          </w:p>
        </w:tc>
        <w:tc>
          <w:tcPr>
            <w:tcW w:w="2062" w:type="dxa"/>
            <w:hideMark/>
          </w:tcPr>
          <w:p w14:paraId="3EBD8E99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42010</w:t>
            </w:r>
          </w:p>
        </w:tc>
      </w:tr>
      <w:tr w:rsidR="00845ED5" w:rsidRPr="00845ED5" w14:paraId="6D1C5A57" w14:textId="77777777" w:rsidTr="00845ED5">
        <w:trPr>
          <w:trHeight w:val="624"/>
        </w:trPr>
        <w:tc>
          <w:tcPr>
            <w:tcW w:w="538" w:type="dxa"/>
            <w:hideMark/>
          </w:tcPr>
          <w:p w14:paraId="6F142C9A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740" w:type="dxa"/>
            <w:hideMark/>
          </w:tcPr>
          <w:p w14:paraId="74000BCD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EMBASE</w:t>
            </w:r>
          </w:p>
        </w:tc>
        <w:tc>
          <w:tcPr>
            <w:tcW w:w="4975" w:type="dxa"/>
            <w:hideMark/>
          </w:tcPr>
          <w:p w14:paraId="40D19B0D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PREGNANCY/</w:t>
            </w:r>
          </w:p>
        </w:tc>
        <w:tc>
          <w:tcPr>
            <w:tcW w:w="2062" w:type="dxa"/>
            <w:hideMark/>
          </w:tcPr>
          <w:p w14:paraId="44362AFF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583777</w:t>
            </w:r>
          </w:p>
        </w:tc>
      </w:tr>
      <w:tr w:rsidR="00845ED5" w:rsidRPr="00845ED5" w14:paraId="59961338" w14:textId="77777777" w:rsidTr="00845ED5">
        <w:trPr>
          <w:trHeight w:val="624"/>
        </w:trPr>
        <w:tc>
          <w:tcPr>
            <w:tcW w:w="538" w:type="dxa"/>
            <w:hideMark/>
          </w:tcPr>
          <w:p w14:paraId="73C2B669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740" w:type="dxa"/>
            <w:hideMark/>
          </w:tcPr>
          <w:p w14:paraId="0FDCCF43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EMBASE</w:t>
            </w:r>
          </w:p>
        </w:tc>
        <w:tc>
          <w:tcPr>
            <w:tcW w:w="4975" w:type="dxa"/>
            <w:hideMark/>
          </w:tcPr>
          <w:p w14:paraId="2507ED39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(12 AND 13)</w:t>
            </w:r>
          </w:p>
        </w:tc>
        <w:tc>
          <w:tcPr>
            <w:tcW w:w="2062" w:type="dxa"/>
            <w:hideMark/>
          </w:tcPr>
          <w:p w14:paraId="3C2459CE" w14:textId="77777777" w:rsidR="00845ED5" w:rsidRPr="00845ED5" w:rsidRDefault="00845ED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5ED5">
              <w:rPr>
                <w:rFonts w:asciiTheme="minorHAnsi" w:hAnsiTheme="minorHAnsi" w:cs="Arial"/>
                <w:sz w:val="22"/>
                <w:szCs w:val="22"/>
              </w:rPr>
              <w:t>289</w:t>
            </w:r>
          </w:p>
        </w:tc>
      </w:tr>
    </w:tbl>
    <w:p w14:paraId="20DB47B3" w14:textId="77777777" w:rsidR="000F0159" w:rsidRDefault="000F0159" w:rsidP="00B23171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75A52B4" w14:textId="77777777" w:rsidR="00B23171" w:rsidRPr="0093601A" w:rsidRDefault="00B23171" w:rsidP="00B23171">
      <w:pPr>
        <w:rPr>
          <w:rFonts w:asciiTheme="minorHAnsi" w:hAnsiTheme="minorHAnsi" w:cstheme="minorHAnsi"/>
          <w:sz w:val="22"/>
          <w:szCs w:val="22"/>
        </w:rPr>
      </w:pPr>
      <w:r w:rsidRPr="0093601A">
        <w:rPr>
          <w:rFonts w:asciiTheme="minorHAnsi" w:hAnsiTheme="minorHAnsi" w:cstheme="minorHAnsi"/>
          <w:sz w:val="22"/>
          <w:szCs w:val="22"/>
        </w:rPr>
        <w:br/>
      </w:r>
    </w:p>
    <w:p w14:paraId="7F239176" w14:textId="77777777" w:rsidR="00B23171" w:rsidRPr="0093601A" w:rsidRDefault="00B23171" w:rsidP="00264C46">
      <w:pPr>
        <w:rPr>
          <w:rFonts w:asciiTheme="minorHAnsi" w:hAnsiTheme="minorHAnsi"/>
          <w:sz w:val="22"/>
          <w:szCs w:val="22"/>
        </w:rPr>
      </w:pPr>
    </w:p>
    <w:sectPr w:rsidR="00B23171" w:rsidRPr="0093601A" w:rsidSect="00DE636B">
      <w:type w:val="continuous"/>
      <w:pgSz w:w="12240" w:h="15840"/>
      <w:pgMar w:top="1021" w:right="1797" w:bottom="102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577E9" w14:textId="77777777" w:rsidR="00025DAE" w:rsidRDefault="00025DAE" w:rsidP="00D23A91">
      <w:r>
        <w:separator/>
      </w:r>
    </w:p>
  </w:endnote>
  <w:endnote w:type="continuationSeparator" w:id="0">
    <w:p w14:paraId="507E2E0B" w14:textId="77777777" w:rsidR="00025DAE" w:rsidRDefault="00025DAE" w:rsidP="00D2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52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9CDD1" w14:textId="77777777" w:rsidR="00025DAE" w:rsidRDefault="00025D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A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89AE95" w14:textId="77777777" w:rsidR="00025DAE" w:rsidRDefault="00025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32085" w14:textId="77777777" w:rsidR="00025DAE" w:rsidRDefault="00025DAE" w:rsidP="00D23A91">
      <w:r>
        <w:separator/>
      </w:r>
    </w:p>
  </w:footnote>
  <w:footnote w:type="continuationSeparator" w:id="0">
    <w:p w14:paraId="56944AAE" w14:textId="77777777" w:rsidR="00025DAE" w:rsidRDefault="00025DAE" w:rsidP="00D2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7ADC3" w14:textId="77777777" w:rsidR="00025DAE" w:rsidRPr="00CF791C" w:rsidRDefault="00025DAE">
    <w:pPr>
      <w:pStyle w:val="Header"/>
      <w:rPr>
        <w:rFonts w:asciiTheme="minorHAnsi" w:hAnsiTheme="minorHAnsi"/>
      </w:rPr>
    </w:pPr>
    <w:r>
      <w:rPr>
        <w:noProof/>
        <w:lang w:val="en-GB" w:eastAsia="en-GB"/>
      </w:rPr>
      <w:drawing>
        <wp:inline distT="0" distB="0" distL="0" distR="0" wp14:anchorId="012F9DFF" wp14:editId="1ACCE40E">
          <wp:extent cx="628650" cy="336632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050" cy="339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CF791C">
      <w:rPr>
        <w:rFonts w:asciiTheme="minorHAnsi" w:hAnsiTheme="minorHAnsi"/>
        <w:sz w:val="16"/>
        <w:szCs w:val="16"/>
      </w:rPr>
      <w:t>Education Centre Library |Royal Bolton Hospital |Minerva Road |Farnworth |Bolton |BL4 0JR Tel: 01204390935</w:t>
    </w:r>
  </w:p>
  <w:p w14:paraId="6E71F711" w14:textId="77777777" w:rsidR="00025DAE" w:rsidRDefault="00025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9BC"/>
    <w:multiLevelType w:val="hybridMultilevel"/>
    <w:tmpl w:val="90BE5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21455"/>
    <w:multiLevelType w:val="hybridMultilevel"/>
    <w:tmpl w:val="C60C7758"/>
    <w:lvl w:ilvl="0" w:tplc="566A911E">
      <w:numFmt w:val="bullet"/>
      <w:lvlText w:val="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B4B14"/>
    <w:multiLevelType w:val="multilevel"/>
    <w:tmpl w:val="CC661230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46"/>
    <w:rsid w:val="00007183"/>
    <w:rsid w:val="000251E2"/>
    <w:rsid w:val="00025DAE"/>
    <w:rsid w:val="000439FC"/>
    <w:rsid w:val="00092EE9"/>
    <w:rsid w:val="000F0159"/>
    <w:rsid w:val="0010095C"/>
    <w:rsid w:val="001120A7"/>
    <w:rsid w:val="00143127"/>
    <w:rsid w:val="001532AD"/>
    <w:rsid w:val="00224FF8"/>
    <w:rsid w:val="0025333E"/>
    <w:rsid w:val="002576AA"/>
    <w:rsid w:val="00260114"/>
    <w:rsid w:val="00264C46"/>
    <w:rsid w:val="002C53C6"/>
    <w:rsid w:val="002E34EC"/>
    <w:rsid w:val="003C1A2A"/>
    <w:rsid w:val="00404EB1"/>
    <w:rsid w:val="00427ACA"/>
    <w:rsid w:val="004C41A0"/>
    <w:rsid w:val="004E224E"/>
    <w:rsid w:val="00523116"/>
    <w:rsid w:val="00564976"/>
    <w:rsid w:val="00587948"/>
    <w:rsid w:val="00590172"/>
    <w:rsid w:val="005A5207"/>
    <w:rsid w:val="0061024B"/>
    <w:rsid w:val="00631B9E"/>
    <w:rsid w:val="0064115B"/>
    <w:rsid w:val="00661F32"/>
    <w:rsid w:val="00694308"/>
    <w:rsid w:val="006A7C1C"/>
    <w:rsid w:val="006B2DCF"/>
    <w:rsid w:val="006C0680"/>
    <w:rsid w:val="006D47E9"/>
    <w:rsid w:val="006E217F"/>
    <w:rsid w:val="0071779C"/>
    <w:rsid w:val="00722ED8"/>
    <w:rsid w:val="0077504F"/>
    <w:rsid w:val="007A18FC"/>
    <w:rsid w:val="007E768C"/>
    <w:rsid w:val="00810660"/>
    <w:rsid w:val="008343BD"/>
    <w:rsid w:val="00845ED5"/>
    <w:rsid w:val="00886DA1"/>
    <w:rsid w:val="0089156E"/>
    <w:rsid w:val="008B4B9B"/>
    <w:rsid w:val="008D7ACF"/>
    <w:rsid w:val="009121B6"/>
    <w:rsid w:val="0093601A"/>
    <w:rsid w:val="009440FA"/>
    <w:rsid w:val="009447FD"/>
    <w:rsid w:val="00944821"/>
    <w:rsid w:val="00962B8B"/>
    <w:rsid w:val="009678D9"/>
    <w:rsid w:val="0097234E"/>
    <w:rsid w:val="009A69A0"/>
    <w:rsid w:val="009B60A9"/>
    <w:rsid w:val="00A77F5E"/>
    <w:rsid w:val="00A81E71"/>
    <w:rsid w:val="00AF50EA"/>
    <w:rsid w:val="00B23171"/>
    <w:rsid w:val="00B25B05"/>
    <w:rsid w:val="00BA729B"/>
    <w:rsid w:val="00BB779A"/>
    <w:rsid w:val="00C60F3A"/>
    <w:rsid w:val="00C8478B"/>
    <w:rsid w:val="00CB06E2"/>
    <w:rsid w:val="00CC3A2C"/>
    <w:rsid w:val="00CC6819"/>
    <w:rsid w:val="00CF2A39"/>
    <w:rsid w:val="00CF40C8"/>
    <w:rsid w:val="00CF791C"/>
    <w:rsid w:val="00D0632B"/>
    <w:rsid w:val="00D23A91"/>
    <w:rsid w:val="00D44F40"/>
    <w:rsid w:val="00D74B34"/>
    <w:rsid w:val="00D818A7"/>
    <w:rsid w:val="00DE636B"/>
    <w:rsid w:val="00E001EB"/>
    <w:rsid w:val="00E61B7B"/>
    <w:rsid w:val="00EC0A06"/>
    <w:rsid w:val="00EC2DB5"/>
    <w:rsid w:val="00ED1A07"/>
    <w:rsid w:val="00EE532B"/>
    <w:rsid w:val="00F37ABB"/>
    <w:rsid w:val="00F61155"/>
    <w:rsid w:val="00F723D3"/>
    <w:rsid w:val="00F90A9B"/>
    <w:rsid w:val="00FB36A4"/>
    <w:rsid w:val="00FC7FEE"/>
    <w:rsid w:val="00FD516F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5B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46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C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172"/>
    <w:rPr>
      <w:color w:val="800080" w:themeColor="followedHyperlink"/>
      <w:u w:val="single"/>
    </w:rPr>
  </w:style>
  <w:style w:type="paragraph" w:customStyle="1" w:styleId="headinganchor">
    <w:name w:val="headinganchor"/>
    <w:basedOn w:val="Normal"/>
    <w:rsid w:val="00B2317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h2">
    <w:name w:val="h2"/>
    <w:basedOn w:val="DefaultParagraphFont"/>
    <w:rsid w:val="00B23171"/>
  </w:style>
  <w:style w:type="character" w:customStyle="1" w:styleId="headingendmark">
    <w:name w:val="headingendmark"/>
    <w:basedOn w:val="DefaultParagraphFont"/>
    <w:rsid w:val="00B23171"/>
  </w:style>
  <w:style w:type="character" w:customStyle="1" w:styleId="apple-converted-space">
    <w:name w:val="apple-converted-space"/>
    <w:basedOn w:val="DefaultParagraphFont"/>
    <w:rsid w:val="00B23171"/>
  </w:style>
  <w:style w:type="character" w:customStyle="1" w:styleId="nowrap">
    <w:name w:val="nowrap"/>
    <w:basedOn w:val="DefaultParagraphFont"/>
    <w:rsid w:val="00B23171"/>
  </w:style>
  <w:style w:type="paragraph" w:styleId="NormalWeb">
    <w:name w:val="Normal (Web)"/>
    <w:basedOn w:val="Normal"/>
    <w:uiPriority w:val="99"/>
    <w:semiHidden/>
    <w:unhideWhenUsed/>
    <w:rsid w:val="00B2317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23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A91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3A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A91"/>
    <w:rPr>
      <w:rFonts w:ascii="Arial" w:hAnsi="Arial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360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6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1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E5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46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C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172"/>
    <w:rPr>
      <w:color w:val="800080" w:themeColor="followedHyperlink"/>
      <w:u w:val="single"/>
    </w:rPr>
  </w:style>
  <w:style w:type="paragraph" w:customStyle="1" w:styleId="headinganchor">
    <w:name w:val="headinganchor"/>
    <w:basedOn w:val="Normal"/>
    <w:rsid w:val="00B2317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h2">
    <w:name w:val="h2"/>
    <w:basedOn w:val="DefaultParagraphFont"/>
    <w:rsid w:val="00B23171"/>
  </w:style>
  <w:style w:type="character" w:customStyle="1" w:styleId="headingendmark">
    <w:name w:val="headingendmark"/>
    <w:basedOn w:val="DefaultParagraphFont"/>
    <w:rsid w:val="00B23171"/>
  </w:style>
  <w:style w:type="character" w:customStyle="1" w:styleId="apple-converted-space">
    <w:name w:val="apple-converted-space"/>
    <w:basedOn w:val="DefaultParagraphFont"/>
    <w:rsid w:val="00B23171"/>
  </w:style>
  <w:style w:type="character" w:customStyle="1" w:styleId="nowrap">
    <w:name w:val="nowrap"/>
    <w:basedOn w:val="DefaultParagraphFont"/>
    <w:rsid w:val="00B23171"/>
  </w:style>
  <w:style w:type="paragraph" w:styleId="NormalWeb">
    <w:name w:val="Normal (Web)"/>
    <w:basedOn w:val="Normal"/>
    <w:uiPriority w:val="99"/>
    <w:semiHidden/>
    <w:unhideWhenUsed/>
    <w:rsid w:val="00B2317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23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A91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3A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A91"/>
    <w:rPr>
      <w:rFonts w:ascii="Arial" w:hAnsi="Arial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360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6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1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E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boltonft.nhs.uk/work-with-us/learn-with-us/library-services/request-a-journal-article-or-boo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library@boltonft.nhs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estpractice.bmj.com/topics/en-gb/210/differential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uptodate.com/contents/indolent-and-smoldering-systemic-mastocytosis-management-and-prognosis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tmsforacure.org/mastocytosis-and-pregnan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33B1-8B25-49D5-BF7B-258AF5FC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7696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NHS Trust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Tracy Owen</cp:lastModifiedBy>
  <cp:revision>2</cp:revision>
  <dcterms:created xsi:type="dcterms:W3CDTF">2020-04-21T13:15:00Z</dcterms:created>
  <dcterms:modified xsi:type="dcterms:W3CDTF">2020-04-21T13:15:00Z</dcterms:modified>
</cp:coreProperties>
</file>